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jc w:val="center"/>
        <w:outlineLvl w:val="3"/>
      </w:pPr>
      <w:r>
        <w:rPr>
          <w:sz w:val="24"/>
          <w:b/>
        </w:rPr>
        <w:t>采购计划编号：</w:t>
      </w:r>
      <w:r>
        <w:rPr>
          <w:sz w:val="24"/>
          <w:b/>
        </w:rPr>
        <w:t>441623-2025-00798</w:t>
      </w:r>
    </w:p>
    <w:p>
      <w:pPr>
        <w:pStyle w:val="null3"/>
        <w:jc w:val="center"/>
        <w:outlineLvl w:val="3"/>
      </w:pPr>
      <w:r>
        <w:rPr>
          <w:sz w:val="24"/>
          <w:b/>
        </w:rPr>
        <w:t>采购项目编号：</w:t>
      </w:r>
      <w:r>
        <w:rPr>
          <w:sz w:val="24"/>
          <w:b/>
        </w:rPr>
        <w:t>441623-2025-00798</w:t>
      </w:r>
    </w:p>
    <w:p>
      <w:pPr>
        <w:pStyle w:val="null3"/>
        <w:jc w:val="center"/>
        <w:outlineLvl w:val="3"/>
      </w:pPr>
      <w:r>
        <w:rPr>
          <w:sz w:val="24"/>
          <w:b/>
        </w:rPr>
        <w:t>项目名称：</w:t>
      </w:r>
      <w:r>
        <w:rPr>
          <w:sz w:val="24"/>
          <w:b/>
        </w:rPr>
        <w:t>连平县生态工业园环卫保洁与绿化养护项目</w:t>
      </w:r>
    </w:p>
    <w:p>
      <w:pPr>
        <w:pStyle w:val="null3"/>
        <w:jc w:val="center"/>
        <w:outlineLvl w:val="3"/>
      </w:pPr>
      <w:r>
        <w:rPr>
          <w:sz w:val="24"/>
          <w:b/>
        </w:rPr>
        <w:t>采购人：</w:t>
      </w:r>
      <w:r>
        <w:rPr>
          <w:sz w:val="24"/>
          <w:b/>
        </w:rPr>
        <w:t>连平县工业园管理委员会</w:t>
      </w:r>
    </w:p>
    <w:p>
      <w:pPr>
        <w:pStyle w:val="null3"/>
        <w:jc w:val="center"/>
        <w:outlineLvl w:val="3"/>
      </w:pPr>
      <w:r>
        <w:rPr>
          <w:sz w:val="24"/>
          <w:b/>
        </w:rPr>
        <w:t>采购代理机构：</w:t>
      </w:r>
      <w:r>
        <w:rPr>
          <w:sz w:val="24"/>
          <w:b/>
        </w:rPr>
        <w:t>河源市新启项目咨询管理有限公司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河源市新启项目咨询管理有限公司</w:t>
      </w:r>
      <w:r>
        <w:rPr/>
        <w:t>受</w:t>
      </w:r>
      <w:r>
        <w:rPr/>
        <w:t>连平县工业园管理委员会</w:t>
      </w:r>
      <w:r>
        <w:rPr/>
        <w:t>的委托，采用</w:t>
      </w:r>
      <w:r>
        <w:rPr/>
        <w:t>竞争性磋商</w:t>
      </w:r>
      <w:r>
        <w:rPr/>
        <w:t>方式组织采购</w:t>
      </w:r>
      <w:r>
        <w:rPr/>
        <w:t>连平县生态工业园环卫保洁与绿化养护项目</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连平县生态工业园环卫保洁与绿化养护项目</w:t>
      </w:r>
    </w:p>
    <w:p>
      <w:pPr>
        <w:pStyle w:val="null3"/>
        <w:ind w:firstLine="480"/>
      </w:pPr>
      <w:r>
        <w:rPr/>
        <w:t>采购计划编号：</w:t>
      </w:r>
      <w:r>
        <w:rPr/>
        <w:t>441623-2025-00798</w:t>
      </w:r>
    </w:p>
    <w:p>
      <w:pPr>
        <w:pStyle w:val="null3"/>
        <w:ind w:firstLine="480"/>
      </w:pPr>
      <w:r>
        <w:rPr/>
        <w:t>采购项目编号：</w:t>
      </w:r>
      <w:r>
        <w:rPr/>
        <w:t>441623-2025-00798</w:t>
      </w:r>
    </w:p>
    <w:p>
      <w:pPr>
        <w:pStyle w:val="null3"/>
        <w:ind w:firstLine="480"/>
      </w:pPr>
      <w:r>
        <w:rPr/>
        <w:t>采购方式：</w:t>
      </w:r>
      <w:r>
        <w:rPr/>
        <w:t>竞争性磋商</w:t>
      </w:r>
    </w:p>
    <w:p>
      <w:pPr>
        <w:pStyle w:val="null3"/>
        <w:ind w:firstLine="480"/>
      </w:pPr>
      <w:r>
        <w:rPr/>
        <w:t>预算金额：</w:t>
      </w:r>
      <w:r>
        <w:rPr/>
        <w:t>3,722,633.96</w:t>
      </w:r>
      <w:r>
        <w:rPr/>
        <w:t>元</w:t>
      </w:r>
    </w:p>
    <w:p>
      <w:pPr>
        <w:pStyle w:val="null3"/>
        <w:outlineLvl w:val="3"/>
      </w:pPr>
      <w:r>
        <w:rPr>
          <w:sz w:val="24"/>
          <w:b/>
        </w:rPr>
        <w:t>2.项目内容及需求情况（采购项目技术规格、参数及要求）</w:t>
      </w:r>
    </w:p>
    <w:p>
      <w:pPr>
        <w:pStyle w:val="null3"/>
      </w:pPr>
      <w:r>
        <w:rPr/>
        <w:t>采购包1(连平县生态工业园环卫保洁与绿化养护项目):</w:t>
      </w:r>
    </w:p>
    <w:p>
      <w:pPr>
        <w:pStyle w:val="null3"/>
      </w:pPr>
      <w:r>
        <w:rPr/>
        <w:t>采购包预算金额：3,722,633.96元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pPr>
              <w:pStyle w:val="null3"/>
            </w:pPr>
            <w:r>
              <w:rPr/>
              <w:t>品目号</w:t>
            </w:r>
          </w:p>
        </w:tc>
        <w:tc>
          <w:tcPr>
            <w:tcW w:type="dxa" w:w="1368"/>
          </w:tcPr>
          <w:p>
            <w:pPr>
              <w:pStyle w:val="null3"/>
            </w:pPr>
            <w:r>
              <w:rPr/>
              <w:t>品目名称</w:t>
            </w:r>
          </w:p>
        </w:tc>
        <w:tc>
          <w:tcPr>
            <w:tcW w:type="dxa" w:w="2052"/>
          </w:tcPr>
          <w:p>
            <w:pPr>
              <w:pStyle w:val="null3"/>
            </w:pPr>
            <w:r>
              <w:rPr/>
              <w:t>采购标的</w:t>
            </w:r>
          </w:p>
        </w:tc>
        <w:tc>
          <w:tcPr>
            <w:tcW w:type="dxa" w:w="977"/>
          </w:tcPr>
          <w:p>
            <w:pPr>
              <w:pStyle w:val="null3"/>
            </w:pPr>
            <w:r>
              <w:rPr/>
              <w:t>数量（单位）</w:t>
            </w:r>
          </w:p>
        </w:tc>
        <w:tc>
          <w:tcPr>
            <w:tcW w:type="dxa" w:w="977"/>
          </w:tcPr>
          <w:p>
            <w:pPr>
              <w:pStyle w:val="null3"/>
            </w:pPr>
            <w:r>
              <w:rPr/>
              <w:t>技术规格、参数及要求</w:t>
            </w:r>
          </w:p>
        </w:tc>
        <w:tc>
          <w:tcPr>
            <w:tcW w:type="dxa" w:w="977"/>
          </w:tcPr>
          <w:p>
            <w:pPr>
              <w:pStyle w:val="null3"/>
            </w:pPr>
            <w:r>
              <w:rPr/>
              <w:t>品目预算(元)</w:t>
            </w:r>
          </w:p>
        </w:tc>
        <w:tc>
          <w:tcPr>
            <w:tcW w:type="dxa" w:w="977"/>
          </w:tcPr>
          <w:p>
            <w:pPr>
              <w:pStyle w:val="null3"/>
            </w:pPr>
            <w:r>
              <w:rPr/>
              <w:t>是否允许进口产品</w:t>
            </w:r>
          </w:p>
        </w:tc>
      </w:tr>
      <w:tr>
        <w:tc>
          <w:tcPr>
            <w:tcW w:type="dxa" w:w="977"/>
          </w:tcPr>
          <w:p>
            <w:pPr>
              <w:pStyle w:val="null3"/>
            </w:pPr>
            <w:r>
              <w:rPr/>
              <w:t>1-1</w:t>
            </w:r>
          </w:p>
        </w:tc>
        <w:tc>
          <w:tcPr>
            <w:tcW w:type="dxa" w:w="1368"/>
          </w:tcPr>
          <w:p>
            <w:pPr>
              <w:pStyle w:val="null3"/>
            </w:pPr>
            <w:r>
              <w:rPr/>
              <w:t>其他服务</w:t>
            </w:r>
          </w:p>
        </w:tc>
        <w:tc>
          <w:tcPr>
            <w:tcW w:type="dxa" w:w="2052"/>
          </w:tcPr>
          <w:p>
            <w:pPr>
              <w:pStyle w:val="null3"/>
            </w:pPr>
            <w:r>
              <w:rPr/>
              <w:t>连平县生态工业园环卫保洁与绿化养护项目</w:t>
            </w:r>
          </w:p>
        </w:tc>
        <w:tc>
          <w:tcPr>
            <w:tcW w:type="dxa" w:w="977"/>
          </w:tcPr>
          <w:p>
            <w:pPr>
              <w:pStyle w:val="null3"/>
            </w:pPr>
            <w:r>
              <w:rPr/>
              <w:t>1(项)</w:t>
            </w:r>
          </w:p>
        </w:tc>
        <w:tc>
          <w:tcPr>
            <w:tcW w:type="dxa" w:w="977"/>
          </w:tcPr>
          <w:p>
            <w:pPr>
              <w:pStyle w:val="null3"/>
            </w:pPr>
            <w:r>
              <w:rPr/>
              <w:t>详见第二章</w:t>
            </w:r>
          </w:p>
        </w:tc>
        <w:tc>
          <w:tcPr>
            <w:tcW w:type="dxa" w:w="977"/>
          </w:tcPr>
          <w:p>
            <w:pPr>
              <w:pStyle w:val="null3"/>
            </w:pPr>
            <w:r>
              <w:rPr/>
              <w:t>3,722,633.96</w:t>
            </w:r>
          </w:p>
        </w:tc>
        <w:tc>
          <w:tcPr>
            <w:tcW w:type="dxa" w:w="97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合同履行期限：与采购人签订合同之日起一年</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1）具有独立承担民事责任的能力：具有独立承担民事责任能力的在中华人民共和国境内注册的法人或其他组织或自然人：提供有效的营业执照或事业法人登记证或身份证等相关证明文件</w:t>
      </w:r>
    </w:p>
    <w:p>
      <w:pPr>
        <w:pStyle w:val="null3"/>
      </w:pPr>
      <w:r>
        <w:rPr/>
        <w:t>2）有依法缴纳税收和社会保障资金的良好记录：提供资格条件承诺函（格式参照公告附件）</w:t>
      </w:r>
    </w:p>
    <w:p>
      <w:pPr>
        <w:pStyle w:val="null3"/>
      </w:pPr>
      <w:r>
        <w:rPr/>
        <w:t>3）具有良好的商业信誉和健全的财务会计制度：提供资格条件承诺函（格式参照公告附件）</w:t>
      </w:r>
    </w:p>
    <w:p>
      <w:pPr>
        <w:pStyle w:val="null3"/>
      </w:pPr>
      <w:r>
        <w:rPr/>
        <w:t>4）履行合同所必需的设备和专业技术能力：提供资格条件承诺函（格式参照公告附件）</w:t>
      </w:r>
    </w:p>
    <w:p>
      <w:pPr>
        <w:pStyle w:val="null3"/>
      </w:pPr>
      <w:r>
        <w:rPr/>
        <w:t>5）参加采购活动前3年内，在经营活动中没有重大违法记录：提供资格条件承诺函（格式参照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采购包1（连平县生态工业园环卫保洁与绿化养护项目）：</w:t>
      </w:r>
      <w:r>
        <w:rPr/>
        <w:t>本项目预留部分采购项目预算专门面向中小企业采购，以合同分包形式预留份额给中小企业。对于预留份额，提供的服务由符合政策要求的中小企业承接。预留份额通过以下措施进行，供应商可选择以下其中一种方式参与： ①供应商不属于中小企业的，必须将本项目分包给一家或者多家具备实施能力的中小企业，中小企业承担的合同份额占合同金额的比例达到40%或以上（其中预留给小微企业的部分不低于合同金额的28%），接受分包合同的中小企业与分包企业之间不得存在直接控股、管理关系；【提供符合上述比例的分包意向协议书（可参考公告附件）、分包意向协议书上述比例全部服务的承接方的《中小企业声明函》或由省级以上监狱管理局、戒毒管理局(含新疆生产建设兵团)出具的分包意向协议书上述比例的承接方属于监狱企业的证明文件或分包意向协议书上述比例的承接方的《残疾人福利性单位声明函》】 ②供应商属于中小企业的，是否采取分包不作强制要求；【提供全部服务的供应商的《中小企业声明函》或由监狱管理局、戒毒管理局(含新疆生产建设兵团)出具的供应商属于监狱企业的证明文件或《残疾人福利性单位声明函》】</w:t>
      </w:r>
    </w:p>
    <w:p>
      <w:pPr>
        <w:pStyle w:val="null3"/>
        <w:outlineLvl w:val="3"/>
      </w:pPr>
      <w:r>
        <w:rPr>
          <w:sz w:val="24"/>
          <w:b/>
        </w:rPr>
        <w:t>3.本项目特定的资格要求：</w:t>
      </w:r>
    </w:p>
    <w:p>
      <w:pPr>
        <w:pStyle w:val="null3"/>
      </w:pPr>
      <w:r>
        <w:rPr/>
        <w:t>采购包1（连平县生态工业园环卫保洁与绿化养护项目）：</w:t>
      </w:r>
    </w:p>
    <w:p>
      <w:pPr>
        <w:pStyle w:val="null3"/>
      </w:pPr>
      <w:r>
        <w:rPr/>
        <w:t>1)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格式参照公告附件）】</w:t>
      </w:r>
    </w:p>
    <w:p>
      <w:pPr>
        <w:pStyle w:val="null3"/>
      </w:pPr>
      <w:r>
        <w:rPr/>
        <w:t>2)供应商必须符合法律、行政法规规定的其他条件（1）单位负责人为同一人或者存在直接控股、管理关系的不同供应商，不得参加同一合同项下的政府采购活动（提供声明函，格式自拟）； （2）为本项目提供整体设计、规范编制或者项目管理、监理、检测等服务的供应商，不得再参加本项目的采购活动（提供声明函，格式自拟）</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连平县工业园管理委员会</w:t>
      </w:r>
    </w:p>
    <w:p>
      <w:pPr>
        <w:pStyle w:val="null3"/>
        <w:ind w:firstLine="480"/>
      </w:pPr>
      <w:r>
        <w:rPr/>
        <w:t>地址：</w:t>
      </w:r>
      <w:r>
        <w:rPr/>
        <w:t>连平县三角镇工业园管理委员会</w:t>
      </w:r>
    </w:p>
    <w:p>
      <w:pPr>
        <w:pStyle w:val="null3"/>
        <w:ind w:firstLine="480"/>
      </w:pPr>
      <w:r>
        <w:rPr/>
        <w:t>联系方式：</w:t>
      </w:r>
      <w:r>
        <w:rPr/>
        <w:t>0762-4613398</w:t>
      </w:r>
    </w:p>
    <w:p>
      <w:pPr>
        <w:pStyle w:val="null3"/>
        <w:outlineLvl w:val="3"/>
      </w:pPr>
      <w:r>
        <w:rPr>
          <w:sz w:val="24"/>
          <w:b/>
        </w:rPr>
        <w:t>2.采购代理机构信息</w:t>
      </w:r>
    </w:p>
    <w:p>
      <w:pPr>
        <w:pStyle w:val="null3"/>
        <w:ind w:firstLine="480"/>
      </w:pPr>
      <w:r>
        <w:rPr/>
        <w:t>名称：</w:t>
      </w:r>
      <w:r>
        <w:rPr/>
        <w:t>河源市新启项目咨询管理有限公司</w:t>
      </w:r>
    </w:p>
    <w:p>
      <w:pPr>
        <w:pStyle w:val="null3"/>
        <w:ind w:firstLine="480"/>
      </w:pPr>
      <w:r>
        <w:rPr/>
        <w:t xml:space="preserve"> 地址：</w:t>
      </w:r>
      <w:r>
        <w:rPr/>
        <w:t>河源市连平县元善镇肖国排新村苑第一、二层</w:t>
      </w:r>
    </w:p>
    <w:p>
      <w:pPr>
        <w:pStyle w:val="null3"/>
        <w:ind w:firstLine="480"/>
      </w:pPr>
      <w:r>
        <w:rPr/>
        <w:t xml:space="preserve"> 联系方式：</w:t>
      </w:r>
      <w:r>
        <w:rPr/>
        <w:t>0762-6743898</w:t>
      </w:r>
    </w:p>
    <w:p>
      <w:pPr>
        <w:pStyle w:val="null3"/>
        <w:outlineLvl w:val="3"/>
      </w:pPr>
      <w:r>
        <w:rPr>
          <w:sz w:val="24"/>
          <w:b/>
        </w:rPr>
        <w:t xml:space="preserve"> 3.项目联系方式</w:t>
      </w:r>
    </w:p>
    <w:p>
      <w:pPr>
        <w:pStyle w:val="null3"/>
        <w:ind w:firstLine="480"/>
      </w:pPr>
      <w:r>
        <w:rPr/>
        <w:t xml:space="preserve"> 项目联系人：</w:t>
      </w:r>
      <w:r>
        <w:rPr/>
        <w:t>王先生</w:t>
      </w:r>
    </w:p>
    <w:p>
      <w:pPr>
        <w:pStyle w:val="null3"/>
        <w:ind w:firstLine="480"/>
      </w:pPr>
      <w:r>
        <w:rPr/>
        <w:t xml:space="preserve"> 电话：</w:t>
      </w:r>
      <w:r>
        <w:rPr/>
        <w:t>0762-6743898</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河源市新启项目咨询管理有限公司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4"/>
        </w:rPr>
        <w:t>连平县位于广东省北部，与江西省全南、龙南县相邻，是</w:t>
      </w:r>
      <w:r>
        <w:rPr>
          <w:sz w:val="24"/>
        </w:rPr>
        <w:t>105 国道入粤第一县。连平县辖 13 个镇（上坪、内莞、元善、陂头、溪山、隆街、田源、油溪、忠信、高莞、大湖、三角、绣缎），16 个社区，县政府驻元善镇。连平拥有“一流的环境，一流的森林，一流的水质”，是“广东省生态县”和“全国生态建设示范区”，具有良好的生态环境和丰富的旅游资源。连平县先后获得“国家级生态示范区”“中国宜居宜业典范县”“全国环境</w:t>
      </w:r>
    </w:p>
    <w:p>
      <w:pPr>
        <w:pStyle w:val="null3"/>
        <w:jc w:val="both"/>
      </w:pPr>
      <w:r>
        <w:rPr>
          <w:sz w:val="24"/>
        </w:rPr>
        <w:t>综合整治先进县</w:t>
      </w:r>
      <w:r>
        <w:rPr>
          <w:sz w:val="24"/>
        </w:rPr>
        <w:t>”“全国法治县创建先进单位”“全国文明县城”“中国鹰嘴蜜桃之乡”“第二个全国国土资源节约集约模范县”“全国普法先进县”“广东省卫生城镇”“广东省生态县”“广东省双拥模范县”“广东省文明县城”“广东省林业生态县”“广东省县级文明城市”“广东省客家花灯艺术之乡”“广东省可持续发展试验区”“广东省现代农业技术示范县”等称号。</w:t>
      </w:r>
    </w:p>
    <w:p>
      <w:pPr>
        <w:pStyle w:val="null3"/>
        <w:ind w:firstLine="562"/>
        <w:jc w:val="both"/>
      </w:pPr>
      <w:r>
        <w:rPr>
          <w:sz w:val="24"/>
        </w:rPr>
        <w:t>连平是一个迅猛发展的后发地区，基础设施完善，工业发展平台优质，拥有</w:t>
      </w:r>
      <w:r>
        <w:rPr>
          <w:sz w:val="24"/>
        </w:rPr>
        <w:t>“三园一邨”（县生态工业园、县隆街产业园、县城东产业园、忠信工业邨），是一块投资兴业的新兴热土。</w:t>
      </w:r>
    </w:p>
    <w:p>
      <w:pPr>
        <w:pStyle w:val="null3"/>
      </w:pPr>
      <w:r>
        <w:rPr/>
        <w:t>采购包1（连平县生态工业园环卫保洁与绿化养护项目）</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与采购人签订合同之日起一年</w:t>
            </w:r>
          </w:p>
        </w:tc>
      </w:tr>
      <w:tr>
        <w:tc>
          <w:tcPr>
            <w:tcW w:type="dxa" w:w="4153"/>
          </w:tcPr>
          <w:p>
            <w:pPr>
              <w:pStyle w:val="null3"/>
            </w:pPr>
            <w:r>
              <w:rPr/>
              <w:t>标的提供的地点</w:t>
            </w:r>
          </w:p>
        </w:tc>
        <w:tc>
          <w:tcPr>
            <w:tcW w:type="dxa" w:w="4153"/>
          </w:tcPr>
          <w:p>
            <w:pPr>
              <w:pStyle w:val="null3"/>
            </w:pPr>
            <w:r>
              <w:rPr/>
              <w:t>采购人指定地点</w:t>
            </w:r>
          </w:p>
        </w:tc>
      </w:tr>
      <w:tr/>
      <w:tr/>
      <w:tr>
        <w:tc>
          <w:tcPr>
            <w:tcW w:type="dxa" w:w="4153"/>
          </w:tcPr>
          <w:p>
            <w:pPr>
              <w:pStyle w:val="null3"/>
            </w:pPr>
            <w:r>
              <w:rPr/>
              <w:t>付款方式</w:t>
            </w:r>
          </w:p>
        </w:tc>
        <w:tc>
          <w:tcPr>
            <w:tcW w:type="dxa" w:w="4153"/>
          </w:tcPr>
          <w:p>
            <w:pPr>
              <w:pStyle w:val="null3"/>
            </w:pPr>
            <w:r>
              <w:rPr/>
              <w:t>第1期为(应付款)：支付比例100%，（1）合同生效后从第二个季度起的20日前，采购人按实际向供应商支付上个季度的运营费。（每月运营费根据月度综合考评得分确定实际应付款数额后累计至每季度支付；付款时供应商应出具与实际应付款数额相符的发票，如供应商迟延提交发票或者提交的发票不符合要求的，采购人顺延付款不视为违约，由此造成的损失由乙方自行承担。） （2）运营费如由财政拨款，如因政策的影响，拨款未能及时到位，供应商不得以此为由而不履行或怠于履行本合同规定的义务。否则，采购人按规定扣罚。。</w:t>
            </w:r>
          </w:p>
        </w:tc>
      </w:tr>
      <w:tr>
        <w:tc>
          <w:tcPr>
            <w:tcW w:type="dxa" w:w="8306"/>
            <w:gridSpan w:val="2"/>
          </w:tcPr>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1期：由采购人主管部门每月对供应商运营服务进行考核评价验收</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t>其他商务需求</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jc w:val="center"/>
            </w:pPr>
            <w:r>
              <w:rPr/>
              <w:t>参数性质</w:t>
            </w:r>
          </w:p>
        </w:tc>
        <w:tc>
          <w:tcPr>
            <w:tcW w:type="dxa" w:w="2076"/>
          </w:tcPr>
          <w:p>
            <w:pPr>
              <w:pStyle w:val="null3"/>
              <w:jc w:val="center"/>
            </w:pPr>
            <w:r>
              <w:rPr/>
              <w:t>编号</w:t>
            </w:r>
          </w:p>
        </w:tc>
        <w:tc>
          <w:tcPr>
            <w:tcW w:type="dxa" w:w="2076"/>
          </w:tcPr>
          <w:p>
            <w:pPr>
              <w:pStyle w:val="null3"/>
              <w:jc w:val="center"/>
            </w:pPr>
            <w:r>
              <w:rPr/>
              <w:t>内容明细</w:t>
            </w:r>
          </w:p>
        </w:tc>
        <w:tc>
          <w:tcPr>
            <w:tcW w:type="dxa" w:w="2076"/>
          </w:tcPr>
          <w:p>
            <w:pPr>
              <w:pStyle w:val="null3"/>
              <w:jc w:val="center"/>
            </w:pPr>
            <w:r>
              <w:rPr/>
              <w:t>内容说明</w:t>
            </w:r>
          </w:p>
        </w:tc>
      </w:tr>
      <w:tr>
        <w:tc>
          <w:tcPr>
            <w:tcW w:type="dxa" w:w="2076"/>
          </w:tcPr>
          <w:p/>
        </w:tc>
        <w:tc>
          <w:tcPr>
            <w:tcW w:type="dxa" w:w="2076"/>
          </w:tcPr>
          <w:p>
            <w:pPr>
              <w:pStyle w:val="null3"/>
              <w:jc w:val="center"/>
            </w:pPr>
            <w:r>
              <w:rPr/>
              <w:t>1</w:t>
            </w:r>
          </w:p>
        </w:tc>
        <w:tc>
          <w:tcPr>
            <w:tcW w:type="dxa" w:w="2076"/>
          </w:tcPr>
          <w:p>
            <w:pPr>
              <w:pStyle w:val="null3"/>
              <w:jc w:val="left"/>
            </w:pPr>
            <w:r>
              <w:rPr/>
              <w:t>报价要求</w:t>
            </w:r>
          </w:p>
        </w:tc>
        <w:tc>
          <w:tcPr>
            <w:tcW w:type="dxa" w:w="2076"/>
          </w:tcPr>
          <w:p>
            <w:pPr>
              <w:pStyle w:val="null3"/>
              <w:jc w:val="left"/>
            </w:pPr>
            <w:r>
              <w:rPr/>
              <w:t>（1）供应商报价以人民币为单位。 （2）报价应包含完成本项目所有可能发生的费用。采购人将不予支付除响应文件及承包合同约定的由供应商承担的风险因素之外的任何补偿</w:t>
            </w:r>
          </w:p>
        </w:tc>
      </w:tr>
      <w:tr>
        <w:tc>
          <w:tcPr>
            <w:tcW w:type="dxa" w:w="2076"/>
          </w:tcPr>
          <w:p/>
        </w:tc>
        <w:tc>
          <w:tcPr>
            <w:tcW w:type="dxa" w:w="2076"/>
          </w:tcPr>
          <w:p>
            <w:pPr>
              <w:pStyle w:val="null3"/>
              <w:jc w:val="center"/>
            </w:pPr>
            <w:r>
              <w:rPr/>
              <w:t>2</w:t>
            </w:r>
          </w:p>
        </w:tc>
        <w:tc>
          <w:tcPr>
            <w:tcW w:type="dxa" w:w="2076"/>
          </w:tcPr>
          <w:p>
            <w:pPr>
              <w:pStyle w:val="null3"/>
              <w:jc w:val="left"/>
            </w:pPr>
            <w:r>
              <w:rPr/>
              <w:t>其它要求</w:t>
            </w:r>
          </w:p>
        </w:tc>
        <w:tc>
          <w:tcPr>
            <w:tcW w:type="dxa" w:w="2076"/>
          </w:tcPr>
          <w:p>
            <w:pPr>
              <w:pStyle w:val="null3"/>
              <w:jc w:val="left"/>
            </w:pPr>
            <w:r>
              <w:rPr/>
              <w:t>供应商在响应文件中要列明在项目实施过程中要求业主提供的配合条件（如有）</w:t>
            </w:r>
          </w:p>
        </w:tc>
      </w:tr>
    </w:tbl>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t>说明</w:t>
            </w:r>
          </w:p>
        </w:tc>
        <w:tc>
          <w:tcPr>
            <w:tcW w:type="dxa" w:w="5538"/>
            <w:gridSpan w:val="2"/>
          </w:tcPr>
          <w:p>
            <w:pPr>
              <w:pStyle w:val="null3"/>
              <w:jc w:val="left"/>
            </w:pPr>
            <w:r>
              <w:rPr/>
              <w:t xml:space="preserve"> 打“★”号条款为实质性条款，若有任何一条负偏离或不满足则导致投标（响应）无效。 </w:t>
            </w:r>
            <w:r>
              <w:br/>
            </w:r>
            <w:r>
              <w:rPr/>
              <w:t>打“▲”号条款为重要参数（如有），若有部分“▲”条款未响应或不满足，将根据评审要求影响其得分，但不作为无效投标（响应）条款。</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其他服务</w:t>
            </w:r>
          </w:p>
        </w:tc>
        <w:tc>
          <w:tcPr>
            <w:tcW w:type="dxa" w:w="933"/>
          </w:tcPr>
          <w:p>
            <w:pPr>
              <w:pStyle w:val="null3"/>
              <w:jc w:val="left"/>
            </w:pPr>
            <w:r>
              <w:rPr/>
              <w:t>连平县生态工业园环卫保洁与绿化养护项目</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3,722,633.96</w:t>
            </w:r>
          </w:p>
        </w:tc>
        <w:tc>
          <w:tcPr>
            <w:tcW w:type="dxa" w:w="933"/>
          </w:tcPr>
          <w:p>
            <w:pPr>
              <w:pStyle w:val="null3"/>
              <w:jc w:val="right"/>
            </w:pPr>
            <w:r>
              <w:rPr/>
              <w:t>3,722,633.96</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连平县生态工业园环卫保洁与绿化养护项目</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tbl>
            <w:tblPr>
              <w:tblBorders>
                <w:top w:val="none" w:color="000000" w:sz="4"/>
                <w:left w:val="none" w:color="000000" w:sz="4"/>
                <w:bottom w:val="none" w:color="000000" w:sz="4"/>
                <w:right w:val="none" w:color="000000" w:sz="4"/>
                <w:insideH w:val="none"/>
                <w:insideV w:val="none"/>
              </w:tblBorders>
            </w:tblPr>
            <w:tblGrid>
              <w:gridCol w:w="436"/>
              <w:gridCol w:w="512"/>
              <w:gridCol w:w="4646"/>
            </w:tblGrid>
            <w:tr>
              <w:tc>
                <w:tcPr>
                  <w:tcW w:type="dxa" w:w="43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参数性质</w:t>
                  </w:r>
                </w:p>
              </w:tc>
              <w:tc>
                <w:tcPr>
                  <w:tcW w:type="dxa" w:w="512"/>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序号</w:t>
                  </w:r>
                </w:p>
              </w:tc>
              <w:tc>
                <w:tcPr>
                  <w:tcW w:type="dxa" w:w="464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具体技术</w:t>
                  </w:r>
                  <w:r>
                    <w:rPr>
                      <w:sz w:val="24"/>
                    </w:rPr>
                    <w:t>(参数)要求</w:t>
                  </w:r>
                </w:p>
              </w:tc>
            </w:tr>
            <w:tr>
              <w:tc>
                <w:tcPr>
                  <w:tcW w:type="dxa" w:w="43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51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46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482"/>
                    <w:jc w:val="both"/>
                  </w:pPr>
                  <w:r>
                    <w:rPr>
                      <w:sz w:val="19"/>
                    </w:rPr>
                    <w:t xml:space="preserve"> </w:t>
                  </w:r>
                </w:p>
                <w:p>
                  <w:pPr>
                    <w:pStyle w:val="null3"/>
                    <w:ind w:firstLine="562"/>
                    <w:jc w:val="both"/>
                  </w:pPr>
                  <w:r>
                    <w:rPr>
                      <w:sz w:val="24"/>
                      <w:b/>
                    </w:rPr>
                    <w:t>一、项目内容</w:t>
                  </w:r>
                </w:p>
                <w:p>
                  <w:pPr>
                    <w:pStyle w:val="null3"/>
                    <w:ind w:firstLine="482"/>
                    <w:jc w:val="both"/>
                  </w:pPr>
                  <w:r>
                    <w:rPr>
                      <w:sz w:val="24"/>
                    </w:rPr>
                    <w:t>环卫保洁（含垃圾收集和公厕管养）：</w:t>
                  </w:r>
                </w:p>
                <w:p>
                  <w:pPr>
                    <w:pStyle w:val="null3"/>
                    <w:jc w:val="both"/>
                  </w:pPr>
                  <w:r>
                    <w:rPr>
                      <w:sz w:val="24"/>
                    </w:rPr>
                    <w:t>（</w:t>
                  </w:r>
                  <w:r>
                    <w:rPr>
                      <w:sz w:val="24"/>
                    </w:rPr>
                    <w:t>1）园区内主次干道、辅道、人行道、绿化带（含行道树沟、绿化景观带）等的清扫保洁和垃圾收集工作；</w:t>
                  </w:r>
                </w:p>
                <w:p>
                  <w:pPr>
                    <w:pStyle w:val="null3"/>
                    <w:jc w:val="both"/>
                  </w:pPr>
                  <w:r>
                    <w:rPr>
                      <w:sz w:val="24"/>
                    </w:rPr>
                    <w:t>（</w:t>
                  </w:r>
                  <w:r>
                    <w:rPr>
                      <w:sz w:val="24"/>
                    </w:rPr>
                    <w:t>2）园区内主次干道、辅道、人行道等机械洒水、洗扫和冲洗；</w:t>
                  </w:r>
                </w:p>
                <w:p>
                  <w:pPr>
                    <w:pStyle w:val="null3"/>
                    <w:jc w:val="both"/>
                  </w:pPr>
                  <w:r>
                    <w:rPr>
                      <w:sz w:val="24"/>
                    </w:rPr>
                    <w:t>（</w:t>
                  </w:r>
                  <w:r>
                    <w:rPr>
                      <w:sz w:val="24"/>
                    </w:rPr>
                    <w:t>3）收集生活垃圾并转运至垃圾转运站（三角镇垃圾转运站）</w:t>
                  </w:r>
                </w:p>
                <w:p>
                  <w:pPr>
                    <w:pStyle w:val="null3"/>
                    <w:jc w:val="both"/>
                  </w:pPr>
                  <w:r>
                    <w:rPr>
                      <w:sz w:val="24"/>
                    </w:rPr>
                    <w:t>（</w:t>
                  </w:r>
                  <w:r>
                    <w:rPr>
                      <w:sz w:val="24"/>
                    </w:rPr>
                    <w:t>4）园区内无主装修垃圾（2 立方米内）的收集清理。</w:t>
                  </w:r>
                </w:p>
                <w:p>
                  <w:pPr>
                    <w:pStyle w:val="null3"/>
                    <w:jc w:val="both"/>
                  </w:pPr>
                  <w:r>
                    <w:rPr>
                      <w:sz w:val="24"/>
                    </w:rPr>
                    <w:t>（</w:t>
                  </w:r>
                  <w:r>
                    <w:rPr>
                      <w:sz w:val="24"/>
                    </w:rPr>
                    <w:t>5）环卫设施（如垃圾桶等）的保洁维护；</w:t>
                  </w:r>
                </w:p>
                <w:p>
                  <w:pPr>
                    <w:pStyle w:val="null3"/>
                    <w:jc w:val="both"/>
                  </w:pPr>
                  <w:r>
                    <w:rPr>
                      <w:sz w:val="24"/>
                    </w:rPr>
                    <w:t>（</w:t>
                  </w:r>
                  <w:r>
                    <w:rPr>
                      <w:sz w:val="24"/>
                    </w:rPr>
                    <w:t>6）园区内户外小广告的清理；</w:t>
                  </w:r>
                </w:p>
                <w:p>
                  <w:pPr>
                    <w:pStyle w:val="null3"/>
                    <w:jc w:val="both"/>
                  </w:pPr>
                  <w:r>
                    <w:rPr>
                      <w:sz w:val="24"/>
                    </w:rPr>
                    <w:t>（</w:t>
                  </w:r>
                  <w:r>
                    <w:rPr>
                      <w:sz w:val="24"/>
                    </w:rPr>
                    <w:t>7）园区内公厕管养；</w:t>
                  </w:r>
                </w:p>
                <w:p>
                  <w:pPr>
                    <w:pStyle w:val="null3"/>
                    <w:jc w:val="both"/>
                  </w:pPr>
                  <w:r>
                    <w:rPr>
                      <w:sz w:val="24"/>
                    </w:rPr>
                    <w:t>（</w:t>
                  </w:r>
                  <w:r>
                    <w:rPr>
                      <w:sz w:val="24"/>
                    </w:rPr>
                    <w:t>8）配合业主单位完成大型迎检及接待活动专项保洁任务、重大节日应急保洁任务及暴风雨雪恶劣天气的突发情况处置等。</w:t>
                  </w:r>
                </w:p>
                <w:p>
                  <w:pPr>
                    <w:pStyle w:val="null3"/>
                    <w:ind w:firstLine="482"/>
                    <w:jc w:val="both"/>
                  </w:pPr>
                  <w:r>
                    <w:rPr>
                      <w:sz w:val="24"/>
                    </w:rPr>
                    <w:t xml:space="preserve"> </w:t>
                  </w:r>
                  <w:r>
                    <w:rPr>
                      <w:sz w:val="24"/>
                    </w:rPr>
                    <w:t>绿化养护：</w:t>
                  </w:r>
                </w:p>
                <w:p>
                  <w:pPr>
                    <w:pStyle w:val="null3"/>
                    <w:jc w:val="both"/>
                  </w:pPr>
                  <w:r>
                    <w:rPr>
                      <w:sz w:val="24"/>
                    </w:rPr>
                    <w:t>（</w:t>
                  </w:r>
                  <w:r>
                    <w:rPr>
                      <w:sz w:val="24"/>
                    </w:rPr>
                    <w:t>1）公共绿化的养护工作，包括浇水、松土、施肥、整型、修剪枯枝败叶、</w:t>
                  </w:r>
                </w:p>
                <w:p>
                  <w:pPr>
                    <w:pStyle w:val="null3"/>
                    <w:jc w:val="both"/>
                  </w:pPr>
                  <w:r>
                    <w:rPr>
                      <w:sz w:val="24"/>
                    </w:rPr>
                    <w:t>草坪除杂草、修剪和滚压草坪、防治病虫害、树木涂白、补植补种等；</w:t>
                  </w:r>
                </w:p>
                <w:p>
                  <w:pPr>
                    <w:pStyle w:val="null3"/>
                    <w:jc w:val="both"/>
                  </w:pPr>
                  <w:r>
                    <w:rPr>
                      <w:sz w:val="24"/>
                    </w:rPr>
                    <w:t>（</w:t>
                  </w:r>
                  <w:r>
                    <w:rPr>
                      <w:sz w:val="24"/>
                    </w:rPr>
                    <w:t>2）公共绿化带修剪整型等美化工作的绿化垃圾的清运；</w:t>
                  </w:r>
                </w:p>
                <w:p>
                  <w:pPr>
                    <w:pStyle w:val="null3"/>
                    <w:jc w:val="both"/>
                  </w:pPr>
                  <w:r>
                    <w:rPr>
                      <w:sz w:val="24"/>
                    </w:rPr>
                    <w:t>（</w:t>
                  </w:r>
                  <w:r>
                    <w:rPr>
                      <w:sz w:val="24"/>
                    </w:rPr>
                    <w:t>3）公共绿化设施（如浇灌系统）的维护、更换。</w:t>
                  </w:r>
                </w:p>
                <w:p>
                  <w:pPr>
                    <w:pStyle w:val="null3"/>
                    <w:ind w:firstLine="562"/>
                    <w:jc w:val="both"/>
                  </w:pPr>
                  <w:r>
                    <w:rPr>
                      <w:sz w:val="24"/>
                      <w:b/>
                    </w:rPr>
                    <w:t>二、项目服务质量要求</w:t>
                  </w:r>
                </w:p>
                <w:p>
                  <w:pPr>
                    <w:pStyle w:val="null3"/>
                    <w:jc w:val="both"/>
                  </w:pPr>
                  <w:r>
                    <w:rPr>
                      <w:sz w:val="24"/>
                      <w:b/>
                    </w:rPr>
                    <w:t>（一）道路清扫保洁作业标准</w:t>
                  </w:r>
                </w:p>
                <w:p>
                  <w:pPr>
                    <w:pStyle w:val="null3"/>
                    <w:jc w:val="both"/>
                  </w:pPr>
                  <w:r>
                    <w:rPr>
                      <w:sz w:val="24"/>
                    </w:rPr>
                    <w:t>1、道路路面废弃物控制指标应符合下表规定，但在同一单位面积内，不得</w:t>
                  </w:r>
                </w:p>
                <w:p>
                  <w:pPr>
                    <w:pStyle w:val="null3"/>
                    <w:jc w:val="both"/>
                  </w:pPr>
                  <w:r>
                    <w:rPr>
                      <w:sz w:val="24"/>
                    </w:rPr>
                    <w:t>超过各单项废弃物总数的</w:t>
                  </w:r>
                  <w:r>
                    <w:rPr>
                      <w:sz w:val="24"/>
                    </w:rPr>
                    <w:t>50%。</w:t>
                  </w:r>
                </w:p>
                <w:tbl>
                  <w:tblPr>
                    <w:tblBorders>
                      <w:top w:val="none" w:color="000000" w:sz="4"/>
                      <w:left w:val="none" w:color="000000" w:sz="4"/>
                      <w:bottom w:val="none" w:color="000000" w:sz="4"/>
                      <w:right w:val="none" w:color="000000" w:sz="4"/>
                      <w:insideH w:val="none"/>
                      <w:insideV w:val="none"/>
                    </w:tblBorders>
                  </w:tblPr>
                  <w:tblGrid>
                    <w:gridCol w:w="494"/>
                    <w:gridCol w:w="540"/>
                    <w:gridCol w:w="677"/>
                    <w:gridCol w:w="576"/>
                    <w:gridCol w:w="530"/>
                    <w:gridCol w:w="640"/>
                    <w:gridCol w:w="750"/>
                    <w:gridCol w:w="219"/>
                  </w:tblGrid>
                  <w:tr>
                    <w:tc>
                      <w:tcPr>
                        <w:tcW w:type="dxa" w:w="49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保洁等级</w:t>
                        </w:r>
                      </w:p>
                    </w:tc>
                    <w:tc>
                      <w:tcPr>
                        <w:tcW w:type="dxa" w:w="54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果皮（片</w:t>
                        </w:r>
                        <w:r>
                          <w:rPr>
                            <w:sz w:val="24"/>
                          </w:rPr>
                          <w:t>/1000㎡）</w:t>
                        </w:r>
                      </w:p>
                    </w:tc>
                    <w:tc>
                      <w:tcPr>
                        <w:tcW w:type="dxa" w:w="67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纸屑、塑（片</w:t>
                        </w:r>
                        <w:r>
                          <w:rPr>
                            <w:sz w:val="24"/>
                          </w:rPr>
                          <w:t>/1000㎡）</w:t>
                        </w:r>
                      </w:p>
                    </w:tc>
                    <w:tc>
                      <w:tcPr>
                        <w:tcW w:type="dxa" w:w="57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烟蒂（个</w:t>
                        </w:r>
                        <w:r>
                          <w:rPr>
                            <w:sz w:val="24"/>
                          </w:rPr>
                          <w:t>/1000㎡）</w:t>
                        </w:r>
                      </w:p>
                    </w:tc>
                    <w:tc>
                      <w:tcPr>
                        <w:tcW w:type="dxa" w:w="53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迹（处</w:t>
                        </w:r>
                        <w:r>
                          <w:rPr>
                            <w:sz w:val="24"/>
                          </w:rPr>
                          <w:t>/1000㎡）</w:t>
                        </w:r>
                      </w:p>
                    </w:tc>
                    <w:tc>
                      <w:tcPr>
                        <w:tcW w:type="dxa" w:w="64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污水（㎡</w:t>
                        </w:r>
                        <w:r>
                          <w:rPr>
                            <w:sz w:val="24"/>
                          </w:rPr>
                          <w:t>/1000</w:t>
                        </w:r>
                      </w:p>
                      <w:p>
                        <w:pPr>
                          <w:pStyle w:val="null3"/>
                          <w:jc w:val="both"/>
                        </w:pPr>
                        <w:r>
                          <w:rPr>
                            <w:sz w:val="24"/>
                          </w:rPr>
                          <w:t>㎡）</w:t>
                        </w:r>
                      </w:p>
                    </w:tc>
                    <w:tc>
                      <w:tcPr>
                        <w:tcW w:type="dxa" w:w="75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其它（处</w:t>
                        </w:r>
                        <w:r>
                          <w:rPr>
                            <w:sz w:val="24"/>
                          </w:rPr>
                          <w:t>/1000㎡）</w:t>
                        </w:r>
                      </w:p>
                    </w:tc>
                    <w:tc>
                      <w:tcPr>
                        <w:tcW w:type="dxa" w:w="21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480"/>
                          <w:jc w:val="both"/>
                        </w:pPr>
                      </w:p>
                    </w:tc>
                  </w:tr>
                  <w:tr>
                    <w:tc>
                      <w:tcPr>
                        <w:tcW w:type="dxa" w:w="49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一级</w:t>
                        </w:r>
                      </w:p>
                    </w:tc>
                    <w:tc>
                      <w:tcPr>
                        <w:tcW w:type="dxa" w:w="54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c>
                      <w:tcPr>
                        <w:tcW w:type="dxa" w:w="6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c>
                      <w:tcPr>
                        <w:tcW w:type="dxa" w:w="5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c>
                      <w:tcPr>
                        <w:tcW w:type="dxa" w:w="5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c>
                      <w:tcPr>
                        <w:tcW w:type="dxa" w:w="64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无</w:t>
                        </w:r>
                      </w:p>
                    </w:tc>
                    <w:tc>
                      <w:tcPr>
                        <w:tcW w:type="dxa" w:w="75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无</w:t>
                        </w:r>
                      </w:p>
                    </w:tc>
                    <w:tc>
                      <w:tcPr>
                        <w:tcW w:type="dxa" w:w="21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480"/>
                          <w:jc w:val="both"/>
                        </w:pPr>
                      </w:p>
                    </w:tc>
                  </w:tr>
                  <w:tr>
                    <w:tc>
                      <w:tcPr>
                        <w:tcW w:type="dxa" w:w="49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二级</w:t>
                        </w:r>
                      </w:p>
                    </w:tc>
                    <w:tc>
                      <w:tcPr>
                        <w:tcW w:type="dxa" w:w="54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w:t>
                        </w:r>
                      </w:p>
                    </w:tc>
                    <w:tc>
                      <w:tcPr>
                        <w:tcW w:type="dxa" w:w="6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w:t>
                        </w:r>
                      </w:p>
                    </w:tc>
                    <w:tc>
                      <w:tcPr>
                        <w:tcW w:type="dxa" w:w="5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≤7</w:t>
                        </w:r>
                      </w:p>
                    </w:tc>
                    <w:tc>
                      <w:tcPr>
                        <w:tcW w:type="dxa" w:w="5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≤7</w:t>
                        </w:r>
                      </w:p>
                    </w:tc>
                    <w:tc>
                      <w:tcPr>
                        <w:tcW w:type="dxa" w:w="64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≤0.4</w:t>
                        </w:r>
                      </w:p>
                    </w:tc>
                    <w:tc>
                      <w:tcPr>
                        <w:tcW w:type="dxa" w:w="75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c>
                      <w:tcPr>
                        <w:tcW w:type="dxa" w:w="21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480"/>
                          <w:jc w:val="both"/>
                        </w:pPr>
                      </w:p>
                    </w:tc>
                  </w:tr>
                  <w:tr>
                    <w:tc>
                      <w:tcPr>
                        <w:tcW w:type="dxa" w:w="49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三级</w:t>
                        </w:r>
                      </w:p>
                    </w:tc>
                    <w:tc>
                      <w:tcPr>
                        <w:tcW w:type="dxa" w:w="54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≤7</w:t>
                        </w:r>
                      </w:p>
                    </w:tc>
                    <w:tc>
                      <w:tcPr>
                        <w:tcW w:type="dxa" w:w="6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≤9</w:t>
                        </w:r>
                      </w:p>
                    </w:tc>
                    <w:tc>
                      <w:tcPr>
                        <w:tcW w:type="dxa" w:w="5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≤9</w:t>
                        </w:r>
                      </w:p>
                    </w:tc>
                    <w:tc>
                      <w:tcPr>
                        <w:tcW w:type="dxa" w:w="5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≤9</w:t>
                        </w:r>
                      </w:p>
                    </w:tc>
                    <w:tc>
                      <w:tcPr>
                        <w:tcW w:type="dxa" w:w="64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≤1.4</w:t>
                        </w:r>
                      </w:p>
                    </w:tc>
                    <w:tc>
                      <w:tcPr>
                        <w:tcW w:type="dxa" w:w="75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w:t>
                        </w:r>
                      </w:p>
                    </w:tc>
                    <w:tc>
                      <w:tcPr>
                        <w:tcW w:type="dxa" w:w="21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480"/>
                          <w:jc w:val="both"/>
                        </w:pPr>
                      </w:p>
                    </w:tc>
                  </w:tr>
                  <w:tr>
                    <w:tc>
                      <w:tcPr>
                        <w:tcW w:type="dxa" w:w="49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四级</w:t>
                        </w:r>
                      </w:p>
                    </w:tc>
                    <w:tc>
                      <w:tcPr>
                        <w:tcW w:type="dxa" w:w="54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≤9</w:t>
                        </w:r>
                      </w:p>
                    </w:tc>
                    <w:tc>
                      <w:tcPr>
                        <w:tcW w:type="dxa" w:w="6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c>
                      <w:tcPr>
                        <w:tcW w:type="dxa" w:w="5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≤14</w:t>
                        </w:r>
                      </w:p>
                    </w:tc>
                    <w:tc>
                      <w:tcPr>
                        <w:tcW w:type="dxa" w:w="5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≤14</w:t>
                        </w:r>
                      </w:p>
                    </w:tc>
                    <w:tc>
                      <w:tcPr>
                        <w:tcW w:type="dxa" w:w="64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≤1.8</w:t>
                        </w:r>
                      </w:p>
                    </w:tc>
                    <w:tc>
                      <w:tcPr>
                        <w:tcW w:type="dxa" w:w="75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≤7</w:t>
                        </w:r>
                      </w:p>
                    </w:tc>
                    <w:tc>
                      <w:tcPr>
                        <w:tcW w:type="dxa" w:w="21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480"/>
                          <w:jc w:val="both"/>
                        </w:pPr>
                      </w:p>
                    </w:tc>
                  </w:tr>
                </w:tbl>
                <w:p>
                  <w:pPr>
                    <w:pStyle w:val="null3"/>
                    <w:jc w:val="both"/>
                  </w:pPr>
                  <w:r>
                    <w:rPr>
                      <w:sz w:val="24"/>
                    </w:rPr>
                    <w:t>2、“六无”即：无烟头、果皮、纸屑、痰迹；无塑料袋、废弃物；无人畜粪便、砖瓦石块；无污泥积水；果皮箱和垃圾桶附近无污物、污水。</w:t>
                  </w:r>
                </w:p>
                <w:p>
                  <w:pPr>
                    <w:pStyle w:val="null3"/>
                    <w:jc w:val="both"/>
                  </w:pPr>
                  <w:r>
                    <w:rPr>
                      <w:sz w:val="24"/>
                    </w:rPr>
                    <w:t>3、“六净”即：路面净、人行道净、路牙净、下水口净、树穴净、墙根净。</w:t>
                  </w:r>
                </w:p>
                <w:p>
                  <w:pPr>
                    <w:pStyle w:val="null3"/>
                    <w:jc w:val="both"/>
                  </w:pPr>
                  <w:r>
                    <w:rPr>
                      <w:sz w:val="24"/>
                    </w:rPr>
                    <w:t>4、“二洁”即：车辆工具完好整洁、果皮箱和烟蒂不落地容器内外整洁。</w:t>
                  </w:r>
                </w:p>
                <w:p>
                  <w:pPr>
                    <w:pStyle w:val="null3"/>
                    <w:jc w:val="both"/>
                  </w:pPr>
                  <w:r>
                    <w:rPr>
                      <w:sz w:val="24"/>
                    </w:rPr>
                    <w:t>5、“一通”即：下水井沟眼通。</w:t>
                  </w:r>
                </w:p>
                <w:p>
                  <w:pPr>
                    <w:pStyle w:val="null3"/>
                    <w:jc w:val="both"/>
                  </w:pPr>
                  <w:r>
                    <w:rPr>
                      <w:sz w:val="24"/>
                    </w:rPr>
                    <w:t>6、“四不准”即：不准将垃圾扫入绿化带、下水口；不准焚烧树叶、生活垃圾及废弃物；不准聚众闲谈、脱岗串岗、干私活；不准将车辆等工具擅作它用。</w:t>
                  </w:r>
                </w:p>
                <w:p>
                  <w:pPr>
                    <w:pStyle w:val="null3"/>
                    <w:jc w:val="both"/>
                  </w:pPr>
                  <w:r>
                    <w:rPr>
                      <w:sz w:val="24"/>
                    </w:rPr>
                    <w:t>7、严禁混穿或不穿标志服上岗、严禁坐在快车道的路牙边上休息、严禁雨雪等恶劣天气打伞作业、严禁穿拖鞋、高跟鞋作业、严禁酒后作业。</w:t>
                  </w:r>
                </w:p>
                <w:p>
                  <w:pPr>
                    <w:pStyle w:val="null3"/>
                    <w:jc w:val="both"/>
                  </w:pPr>
                  <w:r>
                    <w:rPr>
                      <w:sz w:val="24"/>
                    </w:rPr>
                    <w:t>8、园区内燃放鞭炮或沿线抛洒的漂浮垃圾，要及时清扫。</w:t>
                  </w:r>
                </w:p>
                <w:p>
                  <w:pPr>
                    <w:pStyle w:val="null3"/>
                    <w:jc w:val="both"/>
                  </w:pPr>
                  <w:r>
                    <w:rPr>
                      <w:sz w:val="24"/>
                    </w:rPr>
                    <w:t>9、雨后半小时清除积水。</w:t>
                  </w:r>
                </w:p>
                <w:p>
                  <w:pPr>
                    <w:pStyle w:val="null3"/>
                    <w:jc w:val="both"/>
                  </w:pPr>
                  <w:r>
                    <w:rPr>
                      <w:sz w:val="24"/>
                    </w:rPr>
                    <w:t>10、建筑工地周边尘土较多路段应适当增加作业频率。</w:t>
                  </w:r>
                </w:p>
                <w:p>
                  <w:pPr>
                    <w:pStyle w:val="null3"/>
                    <w:jc w:val="both"/>
                  </w:pPr>
                  <w:r>
                    <w:rPr>
                      <w:sz w:val="24"/>
                    </w:rPr>
                    <w:t>11、普扫时不得漏扫、花扫。</w:t>
                  </w:r>
                </w:p>
                <w:p>
                  <w:pPr>
                    <w:pStyle w:val="null3"/>
                    <w:jc w:val="both"/>
                  </w:pPr>
                  <w:r>
                    <w:rPr>
                      <w:sz w:val="24"/>
                    </w:rPr>
                    <w:t>12、果皮箱正常使用期为三年，完好率须达 100%。果皮箱、垃圾桶无倾斜、</w:t>
                  </w:r>
                </w:p>
                <w:p>
                  <w:pPr>
                    <w:pStyle w:val="null3"/>
                    <w:jc w:val="both"/>
                  </w:pPr>
                  <w:r>
                    <w:rPr>
                      <w:sz w:val="24"/>
                    </w:rPr>
                    <w:t>倒放、破损现象，箱桶内及时清掏，做到随清随归位、关门，不得出现满溢现象。</w:t>
                  </w:r>
                </w:p>
                <w:p>
                  <w:pPr>
                    <w:pStyle w:val="null3"/>
                    <w:jc w:val="both"/>
                  </w:pPr>
                  <w:r>
                    <w:rPr>
                      <w:sz w:val="24"/>
                    </w:rPr>
                    <w:t>13、交（督）办问题在规定时间内完成并回复。</w:t>
                  </w:r>
                </w:p>
                <w:p>
                  <w:pPr>
                    <w:pStyle w:val="null3"/>
                    <w:jc w:val="both"/>
                  </w:pPr>
                  <w:r>
                    <w:rPr>
                      <w:sz w:val="24"/>
                      <w:b/>
                    </w:rPr>
                    <w:t>（二）</w:t>
                  </w:r>
                  <w:r>
                    <w:rPr>
                      <w:sz w:val="24"/>
                      <w:b/>
                    </w:rPr>
                    <w:t>垃圾收集作业标准</w:t>
                  </w:r>
                </w:p>
                <w:p>
                  <w:pPr>
                    <w:pStyle w:val="null3"/>
                    <w:jc w:val="both"/>
                  </w:pPr>
                  <w:r>
                    <w:rPr>
                      <w:sz w:val="24"/>
                    </w:rPr>
                    <w:t>1、驾乘人员必须严格遵守交通法规，必须持证上岗。</w:t>
                  </w:r>
                </w:p>
                <w:p>
                  <w:pPr>
                    <w:pStyle w:val="null3"/>
                    <w:jc w:val="both"/>
                  </w:pPr>
                  <w:r>
                    <w:rPr>
                      <w:sz w:val="24"/>
                    </w:rPr>
                    <w:t>2、确保辖区范围内的所有生活垃圾清运做到日产日清，同时引导园区民众</w:t>
                  </w:r>
                </w:p>
                <w:p>
                  <w:pPr>
                    <w:pStyle w:val="null3"/>
                    <w:jc w:val="both"/>
                  </w:pPr>
                  <w:r>
                    <w:rPr>
                      <w:sz w:val="24"/>
                    </w:rPr>
                    <w:t>按照垃圾分类的标识进行垃圾投放，遵循分类标准，禁止混合投放。</w:t>
                  </w:r>
                </w:p>
                <w:p>
                  <w:pPr>
                    <w:pStyle w:val="null3"/>
                    <w:jc w:val="both"/>
                  </w:pPr>
                  <w:r>
                    <w:rPr>
                      <w:sz w:val="24"/>
                    </w:rPr>
                    <w:t>3、垃圾收集容器应定期清洁和维护，保证其正常使用和外观整洁。</w:t>
                  </w:r>
                </w:p>
                <w:p>
                  <w:pPr>
                    <w:pStyle w:val="null3"/>
                    <w:jc w:val="both"/>
                  </w:pPr>
                  <w:r>
                    <w:rPr>
                      <w:sz w:val="24"/>
                    </w:rPr>
                    <w:t>4、车辆要密闭运输，确保运输过程中不扬撒、拖挂和污水滴漏。</w:t>
                  </w:r>
                </w:p>
                <w:p>
                  <w:pPr>
                    <w:pStyle w:val="null3"/>
                    <w:jc w:val="both"/>
                  </w:pPr>
                  <w:r>
                    <w:rPr>
                      <w:sz w:val="24"/>
                    </w:rPr>
                    <w:t>5、车辆不满溢超载，车辆车容整洁、标志清晰。</w:t>
                  </w:r>
                </w:p>
                <w:p>
                  <w:pPr>
                    <w:pStyle w:val="null3"/>
                    <w:jc w:val="both"/>
                  </w:pPr>
                  <w:r>
                    <w:rPr>
                      <w:sz w:val="24"/>
                    </w:rPr>
                    <w:t>6、车辆装卸垃圾要符合作业要求，严禁乱倒、乱卸、乱抛垃圾。垃圾必须</w:t>
                  </w:r>
                </w:p>
                <w:p>
                  <w:pPr>
                    <w:pStyle w:val="null3"/>
                    <w:jc w:val="both"/>
                  </w:pPr>
                  <w:r>
                    <w:rPr>
                      <w:sz w:val="24"/>
                    </w:rPr>
                    <w:t>到垃圾站点进行压缩，不得随意倾倒。</w:t>
                  </w:r>
                </w:p>
                <w:p>
                  <w:pPr>
                    <w:pStyle w:val="null3"/>
                    <w:jc w:val="both"/>
                  </w:pPr>
                  <w:r>
                    <w:rPr>
                      <w:sz w:val="24"/>
                    </w:rPr>
                    <w:t>7、垃圾装运量应以车辆的额定载荷和有效容积为限，不得超重、超高运输。</w:t>
                  </w:r>
                </w:p>
                <w:p>
                  <w:pPr>
                    <w:pStyle w:val="null3"/>
                    <w:jc w:val="both"/>
                  </w:pPr>
                  <w:r>
                    <w:rPr>
                      <w:sz w:val="24"/>
                    </w:rPr>
                    <w:t>8、垃圾车辆为环卫专用车辆，不得从事其他运输业务。</w:t>
                  </w:r>
                </w:p>
                <w:p>
                  <w:pPr>
                    <w:pStyle w:val="null3"/>
                    <w:jc w:val="both"/>
                  </w:pPr>
                  <w:r>
                    <w:rPr>
                      <w:sz w:val="24"/>
                    </w:rPr>
                    <w:t>9、必须每月对使用的车辆进行一次保养，并做好检查保养记录。按月向甲方交存车辆检测、维护台账。</w:t>
                  </w:r>
                </w:p>
                <w:p>
                  <w:pPr>
                    <w:pStyle w:val="null3"/>
                    <w:jc w:val="both"/>
                  </w:pPr>
                  <w:r>
                    <w:rPr>
                      <w:sz w:val="24"/>
                    </w:rPr>
                    <w:t>10、建立、健全车辆管理制度并整理归档，并按月向甲方交存运输车辆台</w:t>
                  </w:r>
                </w:p>
                <w:p>
                  <w:pPr>
                    <w:pStyle w:val="null3"/>
                    <w:jc w:val="both"/>
                  </w:pPr>
                  <w:r>
                    <w:rPr>
                      <w:sz w:val="24"/>
                    </w:rPr>
                    <w:t>账及出车运行记录，并制定实用的应急处置预案。</w:t>
                  </w:r>
                </w:p>
                <w:p>
                  <w:pPr>
                    <w:pStyle w:val="null3"/>
                    <w:jc w:val="both"/>
                  </w:pPr>
                  <w:r>
                    <w:rPr>
                      <w:sz w:val="24"/>
                    </w:rPr>
                    <w:t>11、如遇车辆故障或其他原因不能及时清运的，驾驶员必须及时上报公司，由公司及时启动应急处置预案，合理调配车辆。</w:t>
                  </w:r>
                </w:p>
                <w:p>
                  <w:pPr>
                    <w:pStyle w:val="null3"/>
                    <w:jc w:val="both"/>
                  </w:pPr>
                  <w:r>
                    <w:rPr>
                      <w:sz w:val="24"/>
                      <w:b/>
                    </w:rPr>
                    <w:t>（三）绿化养护作业标准</w:t>
                  </w:r>
                </w:p>
                <w:p>
                  <w:pPr>
                    <w:pStyle w:val="null3"/>
                    <w:jc w:val="both"/>
                  </w:pPr>
                  <w:r>
                    <w:rPr>
                      <w:sz w:val="24"/>
                    </w:rPr>
                    <w:t>1 、道路绿化养护要求因每个地区的气候条件不一样，绿化植物的长势也会有一定的差别，在参照国家级养护标准前提下，根据实际情况适当调整作业频次。</w:t>
                  </w:r>
                </w:p>
                <w:p>
                  <w:pPr>
                    <w:pStyle w:val="null3"/>
                    <w:jc w:val="both"/>
                  </w:pPr>
                  <w:r>
                    <w:rPr>
                      <w:sz w:val="24"/>
                    </w:rPr>
                    <w:t>2、修剪：常绿植物可在生长期进行修剪，落叶植物应在 11 月～12 月修剪；更新修剪应在休眠期进行，其中开花植物应在花凋落后两周内修剪；绿篱、片植、树球等修剪应在每年 5 月上旬至 8 月底进行；适时进行寄生植物修剪。</w:t>
                  </w:r>
                </w:p>
                <w:p>
                  <w:pPr>
                    <w:pStyle w:val="null3"/>
                    <w:jc w:val="both"/>
                  </w:pPr>
                  <w:r>
                    <w:rPr>
                      <w:sz w:val="24"/>
                    </w:rPr>
                    <w:t>3、病虫害防治：每个月份会暴发不同的病虫害，防治过程中应结合药物防治和人工防治，双管齐下，根据不同类型的病虫害进行防治。</w:t>
                  </w:r>
                </w:p>
                <w:p>
                  <w:pPr>
                    <w:pStyle w:val="null3"/>
                    <w:jc w:val="both"/>
                  </w:pPr>
                  <w:r>
                    <w:rPr>
                      <w:sz w:val="24"/>
                    </w:rPr>
                    <w:t>4、浇水：冬春季为干旱季节，浇水次数每月不应少于 4 次。夏季可恰当减少浇水次数，注意排涝。植物发芽、开花期依照品种习性增长浇水量，休眠期恰当控制水量；浇水应浇足浇透，不应损害植物，冲刷土壤；普通乔木种植 5 年后浇水量可逐年减少；针叶树栽植区域，下层植物应适量控水。</w:t>
                  </w:r>
                </w:p>
                <w:p>
                  <w:pPr>
                    <w:pStyle w:val="null3"/>
                    <w:jc w:val="both"/>
                  </w:pPr>
                  <w:r>
                    <w:rPr>
                      <w:sz w:val="24"/>
                    </w:rPr>
                    <w:t>5、排水排涝：在雨季应及时排除绿地内积水，对不耐水湿植物应在 12h 内排除积水。雨水收集预留孔应及时清理枯枝落叶尘土，保证雨水收集、排放畅通对树穴里预埋通气管内积水及时抽取。</w:t>
                  </w:r>
                </w:p>
                <w:p>
                  <w:pPr>
                    <w:pStyle w:val="null3"/>
                    <w:jc w:val="both"/>
                  </w:pPr>
                  <w:r>
                    <w:rPr>
                      <w:sz w:val="24"/>
                    </w:rPr>
                    <w:t>6、施肥：依照植物品种、生长发育阶段，选取施用有机肥、无机肥以及专用肥，平衡土壤中各种矿质营养元素，保持土壤肥力和合理构造；乔、灌、草满栽地块每年施肥应不少于 2 次；开花灌木在生长发育阶段及花后及时进行施肥，以追施磷、钾肥为主；宿根花卉在施足基肥前提下，应在春、秋季重点施肥 2次～3 次，并依照生长状况恰当进行叶面施肥；依照地被植物品种开花特性、生长发育阶段，适时进行施肥。开花地被植物应在花芽形成前施肥，以追施磷、钾肥为主。</w:t>
                  </w:r>
                </w:p>
                <w:p>
                  <w:pPr>
                    <w:pStyle w:val="null3"/>
                    <w:jc w:val="both"/>
                  </w:pPr>
                  <w:r>
                    <w:rPr>
                      <w:sz w:val="24"/>
                    </w:rPr>
                    <w:t>7、中耕除草：植物应适时中耕除草，保持土壤疏松、通气良好，保持绿地整洁，减少病虫滋生。</w:t>
                  </w:r>
                </w:p>
                <w:p>
                  <w:pPr>
                    <w:pStyle w:val="null3"/>
                    <w:jc w:val="both"/>
                  </w:pPr>
                  <w:r>
                    <w:rPr>
                      <w:sz w:val="24"/>
                    </w:rPr>
                    <w:t>8、及时清理死树，枯枝，发现死株 10 天内去除，缺株及时补植，不得超过 20 天。</w:t>
                  </w:r>
                </w:p>
                <w:p>
                  <w:pPr>
                    <w:pStyle w:val="null3"/>
                    <w:jc w:val="both"/>
                  </w:pPr>
                  <w:r>
                    <w:rPr>
                      <w:sz w:val="24"/>
                    </w:rPr>
                    <w:t>9、古树名木：及时填补古树的空洞，每年记录树木生长情况及养护措施。</w:t>
                  </w:r>
                </w:p>
                <w:p>
                  <w:pPr>
                    <w:pStyle w:val="null3"/>
                    <w:jc w:val="both"/>
                  </w:pPr>
                  <w:r>
                    <w:rPr>
                      <w:sz w:val="24"/>
                    </w:rPr>
                    <w:t>10、及时更换草花。</w:t>
                  </w:r>
                </w:p>
                <w:p>
                  <w:pPr>
                    <w:pStyle w:val="null3"/>
                    <w:jc w:val="both"/>
                  </w:pPr>
                  <w:r>
                    <w:rPr>
                      <w:sz w:val="24"/>
                    </w:rPr>
                    <w:t>11、人为损害花草树木及时修复，根据植物生态习性，及时采取必要的防寒措施。</w:t>
                  </w:r>
                </w:p>
                <w:p>
                  <w:pPr>
                    <w:pStyle w:val="null3"/>
                    <w:jc w:val="both"/>
                  </w:pPr>
                  <w:r>
                    <w:rPr>
                      <w:sz w:val="24"/>
                    </w:rPr>
                    <w:t>12、乔木应在每年秋末冬初进行树干涂白，树干涂白剂应含有石硫合剂或杀虫、杀菌剂，分枝点高的乔木涂白高度约 1.2m，分枝点低于 1.2m 的小乔木涂白至分枝点处，对于耐寒性较差的树种可以全株涂白。</w:t>
                  </w:r>
                </w:p>
                <w:p>
                  <w:pPr>
                    <w:pStyle w:val="null3"/>
                    <w:jc w:val="both"/>
                  </w:pPr>
                  <w:r>
                    <w:rPr>
                      <w:sz w:val="24"/>
                    </w:rPr>
                    <w:t>13、对耐寒、抗风能力差的边缘树种应搭设风障，根据风障的规格选择不同的搭设材料，常用竹杆、铁杆、杉木做主骨架；搭设风障措施，有利于树木固定和支撑，防止树木倾倒。</w:t>
                  </w:r>
                </w:p>
                <w:p>
                  <w:pPr>
                    <w:pStyle w:val="null3"/>
                    <w:jc w:val="both"/>
                  </w:pPr>
                  <w:r>
                    <w:rPr>
                      <w:sz w:val="24"/>
                      <w:b/>
                    </w:rPr>
                    <w:t>（四）道路绿化养护标准</w:t>
                  </w:r>
                </w:p>
                <w:p>
                  <w:pPr>
                    <w:pStyle w:val="null3"/>
                    <w:jc w:val="both"/>
                  </w:pPr>
                  <w:r>
                    <w:rPr>
                      <w:sz w:val="24"/>
                    </w:rPr>
                    <w:t>1、园林植物生长健壮。新建绿地各种植物两年内达到正常形态。</w:t>
                  </w:r>
                </w:p>
                <w:p>
                  <w:pPr>
                    <w:pStyle w:val="null3"/>
                    <w:jc w:val="both"/>
                  </w:pPr>
                  <w:r>
                    <w:rPr>
                      <w:sz w:val="24"/>
                    </w:rPr>
                    <w:t>2、园林树木树冠完整美观，分枝点合适，枝条粗壮，无枯枝死杈；主侧枝分布匀称、数量适宜、修剪科学合理；内膛疏空，通风透光。花灌木开花及时，株形饱满，花后修剪及时合理。绿篱、色块等修剪及时，枝叶茂密整齐，整型树木造型雅观。行道树无缺株，绿地内无死树。</w:t>
                  </w:r>
                </w:p>
                <w:p>
                  <w:pPr>
                    <w:pStyle w:val="null3"/>
                    <w:jc w:val="both"/>
                  </w:pPr>
                  <w:r>
                    <w:rPr>
                      <w:sz w:val="24"/>
                    </w:rPr>
                    <w:t>3、落叶树新梢生长健壮，叶片形态、颜色正常。一般条件下，无黄叶、焦叶、卷叶，正常叶片保存率在 95%以上；结果枝条在 10 %以下。</w:t>
                  </w:r>
                </w:p>
                <w:p>
                  <w:pPr>
                    <w:pStyle w:val="null3"/>
                    <w:jc w:val="both"/>
                  </w:pPr>
                  <w:r>
                    <w:rPr>
                      <w:sz w:val="24"/>
                    </w:rPr>
                    <w:t>4、花坛、花带轮廓清晰，整齐美观，色彩艳丽，无残缺，无残花败叶。</w:t>
                  </w:r>
                </w:p>
                <w:p>
                  <w:pPr>
                    <w:pStyle w:val="null3"/>
                    <w:jc w:val="both"/>
                  </w:pPr>
                  <w:r>
                    <w:rPr>
                      <w:sz w:val="24"/>
                    </w:rPr>
                    <w:t>5、草坪及地被植物整齐，覆盖率 99%以上，草坪内无杂草。</w:t>
                  </w:r>
                </w:p>
                <w:p>
                  <w:pPr>
                    <w:pStyle w:val="null3"/>
                    <w:jc w:val="both"/>
                  </w:pPr>
                  <w:r>
                    <w:rPr>
                      <w:sz w:val="24"/>
                    </w:rPr>
                    <w:t>6、草坪绿色期：冷季型草不得少于 300 天；暖季型草不得少于 210 天。</w:t>
                  </w:r>
                </w:p>
                <w:p>
                  <w:pPr>
                    <w:pStyle w:val="null3"/>
                    <w:jc w:val="both"/>
                  </w:pPr>
                  <w:r>
                    <w:rPr>
                      <w:sz w:val="24"/>
                    </w:rPr>
                    <w:t>7、病虫害控制及时，园林树木无蛀干害虫活卵、活虫；叶片无虫粪、虫网。虫食叶片每株不得超过 2%。</w:t>
                  </w:r>
                </w:p>
                <w:p>
                  <w:pPr>
                    <w:pStyle w:val="null3"/>
                    <w:jc w:val="both"/>
                  </w:pPr>
                  <w:r>
                    <w:rPr>
                      <w:sz w:val="24"/>
                    </w:rPr>
                    <w:t>8、垂直绿化应根据不同植物的攀缘植物，及时采取相应的牵引、设置网架等技术措施，视攀缘植物生长习性，覆盖率不得低于 90 %。开花的攀缘植物应适时开花，且花繁色艳。</w:t>
                  </w:r>
                </w:p>
                <w:p>
                  <w:pPr>
                    <w:pStyle w:val="null3"/>
                    <w:jc w:val="both"/>
                  </w:pPr>
                  <w:r>
                    <w:rPr>
                      <w:sz w:val="24"/>
                    </w:rPr>
                    <w:t>9、绿地整洁，无杂挂物。绿化生产垃圾（如树枝、树叶、草屑等）和绿地内水面杂物，重点地区随产随清，其他地区日产日清，及时巡视保洁。</w:t>
                  </w:r>
                </w:p>
                <w:p>
                  <w:pPr>
                    <w:pStyle w:val="null3"/>
                    <w:jc w:val="both"/>
                  </w:pPr>
                  <w:r>
                    <w:rPr>
                      <w:sz w:val="24"/>
                    </w:rPr>
                    <w:t>10、广场、建筑小品、桌椅、路灯、栏杆、井盖和牌示等园林绿地附属设施长期保持整洁、安全，维护维修及时。</w:t>
                  </w:r>
                </w:p>
                <w:p>
                  <w:pPr>
                    <w:pStyle w:val="null3"/>
                    <w:jc w:val="both"/>
                  </w:pPr>
                  <w:r>
                    <w:rPr>
                      <w:sz w:val="24"/>
                    </w:rPr>
                    <w:t>11、绿地完整，无堆物、堆料、搭棚，树干无钉拴刻划等现象。行道树下距树干 2m 范围内无堆物、堆料、围栏或搭棚设摊等影响树木生长和养护管理的现象。</w:t>
                  </w:r>
                </w:p>
                <w:p>
                  <w:pPr>
                    <w:pStyle w:val="null3"/>
                    <w:jc w:val="both"/>
                  </w:pPr>
                  <w:r>
                    <w:rPr>
                      <w:sz w:val="24"/>
                      <w:b/>
                    </w:rPr>
                    <w:t>（五）公厕管养标准</w:t>
                  </w:r>
                </w:p>
                <w:p>
                  <w:pPr>
                    <w:pStyle w:val="null3"/>
                    <w:jc w:val="both"/>
                  </w:pPr>
                  <w:r>
                    <w:rPr>
                      <w:sz w:val="24"/>
                    </w:rPr>
                    <w:t>1、公厕实行免费开放，必须在明显位置设置文明宣传标志、公布公厕名称、作业时间、责任人及投诉电话。</w:t>
                  </w:r>
                </w:p>
                <w:p>
                  <w:pPr>
                    <w:pStyle w:val="null3"/>
                    <w:jc w:val="both"/>
                  </w:pPr>
                  <w:r>
                    <w:rPr>
                      <w:sz w:val="24"/>
                    </w:rPr>
                    <w:t>2、公厕内地面应保持整洁，粪槽、便槽（斗）和管道应无破损，内外墙应无剥落。</w:t>
                  </w:r>
                </w:p>
                <w:p>
                  <w:pPr>
                    <w:pStyle w:val="null3"/>
                    <w:jc w:val="both"/>
                  </w:pPr>
                  <w:r>
                    <w:rPr>
                      <w:sz w:val="24"/>
                    </w:rPr>
                    <w:t>3、公厕应有防蝇、防蚊和除臭设施或措施。</w:t>
                  </w:r>
                </w:p>
                <w:p>
                  <w:pPr>
                    <w:pStyle w:val="null3"/>
                    <w:jc w:val="both"/>
                  </w:pPr>
                  <w:r>
                    <w:rPr>
                      <w:sz w:val="24"/>
                    </w:rPr>
                    <w:t>4、标牌、标志齐全，有保洁制度，且粪槽、便槽、灯具、洗手盆、挂物钩、冲水设备及内外墙、天花板完好无损，无污迹，尿垢。</w:t>
                  </w:r>
                </w:p>
                <w:p>
                  <w:pPr>
                    <w:pStyle w:val="null3"/>
                    <w:jc w:val="both"/>
                  </w:pPr>
                  <w:r>
                    <w:rPr>
                      <w:sz w:val="24"/>
                      <w:b/>
                    </w:rPr>
                    <w:t>（六）公厕保洁标准应符合下列规定：</w:t>
                  </w:r>
                </w:p>
                <w:p>
                  <w:pPr>
                    <w:pStyle w:val="null3"/>
                    <w:jc w:val="both"/>
                  </w:pPr>
                  <w:r>
                    <w:rPr>
                      <w:sz w:val="24"/>
                    </w:rPr>
                    <w:t>（</w:t>
                  </w:r>
                  <w:r>
                    <w:rPr>
                      <w:sz w:val="24"/>
                    </w:rPr>
                    <w:t>1）公厕内采光、照明和通风应良好，无明显臭味；</w:t>
                  </w:r>
                </w:p>
                <w:p>
                  <w:pPr>
                    <w:pStyle w:val="null3"/>
                    <w:jc w:val="both"/>
                  </w:pPr>
                  <w:r>
                    <w:rPr>
                      <w:sz w:val="24"/>
                    </w:rPr>
                    <w:t>（</w:t>
                  </w:r>
                  <w:r>
                    <w:rPr>
                      <w:sz w:val="24"/>
                    </w:rPr>
                    <w:t>2）公厕内墙面、天花板、门窗和隔离板应无积灰、污迹、蛛网，无乱涂乱画，墙面应光洁，公厕外墙面应整洁；</w:t>
                  </w:r>
                </w:p>
                <w:p>
                  <w:pPr>
                    <w:pStyle w:val="null3"/>
                    <w:jc w:val="both"/>
                  </w:pPr>
                  <w:r>
                    <w:rPr>
                      <w:sz w:val="24"/>
                    </w:rPr>
                    <w:t>（</w:t>
                  </w:r>
                  <w:r>
                    <w:rPr>
                      <w:sz w:val="24"/>
                    </w:rPr>
                    <w:t>3）公厕内地面应光洁，无积水；</w:t>
                  </w:r>
                </w:p>
                <w:p>
                  <w:pPr>
                    <w:pStyle w:val="null3"/>
                    <w:jc w:val="both"/>
                  </w:pPr>
                  <w:r>
                    <w:rPr>
                      <w:sz w:val="24"/>
                    </w:rPr>
                    <w:t>（</w:t>
                  </w:r>
                  <w:r>
                    <w:rPr>
                      <w:sz w:val="24"/>
                    </w:rPr>
                    <w:t>4）蹲位应整洁，大便槽两侧应无粪便污物，槽内无积粪，洁净见底；</w:t>
                  </w:r>
                </w:p>
                <w:p>
                  <w:pPr>
                    <w:pStyle w:val="null3"/>
                    <w:jc w:val="both"/>
                  </w:pPr>
                  <w:r>
                    <w:rPr>
                      <w:sz w:val="24"/>
                    </w:rPr>
                    <w:t>（</w:t>
                  </w:r>
                  <w:r>
                    <w:rPr>
                      <w:sz w:val="24"/>
                    </w:rPr>
                    <w:t>5）小便槽（斗）应无水锈、尿垢、垃圾，基本无臭；沟眼、管道保持畅</w:t>
                  </w:r>
                </w:p>
                <w:p>
                  <w:pPr>
                    <w:pStyle w:val="null3"/>
                    <w:jc w:val="both"/>
                  </w:pPr>
                  <w:r>
                    <w:rPr>
                      <w:sz w:val="24"/>
                    </w:rPr>
                    <w:t>通；</w:t>
                  </w:r>
                </w:p>
                <w:p>
                  <w:pPr>
                    <w:pStyle w:val="null3"/>
                    <w:jc w:val="both"/>
                  </w:pPr>
                  <w:r>
                    <w:rPr>
                      <w:sz w:val="24"/>
                    </w:rPr>
                    <w:t>（</w:t>
                  </w:r>
                  <w:r>
                    <w:rPr>
                      <w:sz w:val="24"/>
                    </w:rPr>
                    <w:t>6）公厕内照明灯具、洗手器具、镜子、挂衣钩、烘手器、冲水设备等应完好，无积灰、污物；</w:t>
                  </w:r>
                </w:p>
                <w:p>
                  <w:pPr>
                    <w:pStyle w:val="null3"/>
                    <w:jc w:val="both"/>
                  </w:pPr>
                  <w:r>
                    <w:rPr>
                      <w:sz w:val="24"/>
                    </w:rPr>
                    <w:t>（</w:t>
                  </w:r>
                  <w:r>
                    <w:rPr>
                      <w:sz w:val="24"/>
                    </w:rPr>
                    <w:t>7）公厕外环境应整洁，无乱堆杂物，保洁工具应放置整齐。公厕四周 3～5m 范围内，应无垃圾、粪便、污水等污物；</w:t>
                  </w:r>
                </w:p>
                <w:p>
                  <w:pPr>
                    <w:pStyle w:val="null3"/>
                    <w:jc w:val="both"/>
                  </w:pPr>
                  <w:r>
                    <w:rPr>
                      <w:sz w:val="24"/>
                    </w:rPr>
                    <w:t>（</w:t>
                  </w:r>
                  <w:r>
                    <w:rPr>
                      <w:sz w:val="24"/>
                    </w:rPr>
                    <w:t>8）蝇蚊孳生季节，应定时喷洒灭蚊蝇药物，有效控制蝇蛆孳生；</w:t>
                  </w:r>
                </w:p>
                <w:p>
                  <w:pPr>
                    <w:pStyle w:val="null3"/>
                    <w:jc w:val="both"/>
                  </w:pPr>
                  <w:r>
                    <w:rPr>
                      <w:sz w:val="24"/>
                    </w:rPr>
                    <w:t>（</w:t>
                  </w:r>
                  <w:r>
                    <w:rPr>
                      <w:sz w:val="24"/>
                    </w:rPr>
                    <w:t>9）公厕内卫生保洁质量控制指标应符合公厕内卫生保洁质量控制指标表</w:t>
                  </w:r>
                </w:p>
                <w:p>
                  <w:pPr>
                    <w:pStyle w:val="null3"/>
                    <w:jc w:val="both"/>
                  </w:pPr>
                  <w:r>
                    <w:rPr>
                      <w:sz w:val="24"/>
                    </w:rPr>
                    <w:t>的规定。</w:t>
                  </w:r>
                </w:p>
                <w:p>
                  <w:pPr>
                    <w:pStyle w:val="null3"/>
                    <w:jc w:val="both"/>
                  </w:pPr>
                  <w:r>
                    <w:rPr>
                      <w:sz w:val="24"/>
                      <w:b/>
                    </w:rPr>
                    <w:t>（七）公厕粪便清除作业应符合下列质量要求：</w:t>
                  </w:r>
                </w:p>
                <w:p>
                  <w:pPr>
                    <w:pStyle w:val="null3"/>
                    <w:jc w:val="both"/>
                  </w:pPr>
                  <w:r>
                    <w:rPr>
                      <w:sz w:val="24"/>
                    </w:rPr>
                    <w:t>（</w:t>
                  </w:r>
                  <w:r>
                    <w:rPr>
                      <w:sz w:val="24"/>
                    </w:rPr>
                    <w:t>1）应定期清除公厕贮（化）粪池粪便，粪水不溢；</w:t>
                  </w:r>
                </w:p>
                <w:p>
                  <w:pPr>
                    <w:pStyle w:val="null3"/>
                    <w:jc w:val="both"/>
                  </w:pPr>
                  <w:r>
                    <w:rPr>
                      <w:sz w:val="24"/>
                    </w:rPr>
                    <w:t>（</w:t>
                  </w:r>
                  <w:r>
                    <w:rPr>
                      <w:sz w:val="24"/>
                    </w:rPr>
                    <w:t>2）收集和运输容器应密闭性好，无滴漏。收运粪便时，容器应加盖密闭；</w:t>
                  </w:r>
                </w:p>
                <w:p>
                  <w:pPr>
                    <w:pStyle w:val="null3"/>
                    <w:jc w:val="both"/>
                  </w:pPr>
                  <w:r>
                    <w:rPr>
                      <w:sz w:val="24"/>
                    </w:rPr>
                    <w:t>（</w:t>
                  </w:r>
                  <w:r>
                    <w:rPr>
                      <w:sz w:val="24"/>
                    </w:rPr>
                    <w:t>3）应保持作业场地清洁卫生，无遗撒粪便。清掏作业结束后，应盖严粪口，并及时清洗场地和清掏工具。</w:t>
                  </w:r>
                </w:p>
                <w:p>
                  <w:pPr>
                    <w:pStyle w:val="null3"/>
                    <w:ind w:firstLine="422"/>
                    <w:jc w:val="both"/>
                  </w:pPr>
                  <w:r>
                    <w:rPr>
                      <w:sz w:val="24"/>
                      <w:b/>
                    </w:rPr>
                    <w:t>三、其它要求：</w:t>
                  </w:r>
                </w:p>
                <w:p>
                  <w:pPr>
                    <w:pStyle w:val="null3"/>
                    <w:ind w:firstLine="420"/>
                    <w:jc w:val="both"/>
                  </w:pPr>
                  <w:r>
                    <w:rPr>
                      <w:sz w:val="24"/>
                    </w:rPr>
                    <w:t>1、成交供应商在实施本服务项目之前，应向采购人提交完整、可行、详细的绿化养护和保洁服务组织实施方案，该方案应包括资源的合理配置、作业车辆及作业设备的配备、洒水车的类型、各区域的人员配备及人员详细情况、达到养护标准所需的工作时间、作业流程、质量标准、检查考核办法、安全措施、奖惩措施、应急预案、迎检预案等内容。方案应获得经采购人认可后方可组织实施。</w:t>
                  </w:r>
                </w:p>
                <w:p>
                  <w:pPr>
                    <w:pStyle w:val="null3"/>
                    <w:ind w:firstLine="420"/>
                    <w:jc w:val="both"/>
                  </w:pPr>
                  <w:r>
                    <w:rPr>
                      <w:sz w:val="24"/>
                    </w:rPr>
                    <w:t>2、成交供应商应配合采购人做好本项目宣传监督工作，教育园区人员遵守有关环境卫生管理规定，配合搞好园区卫生清洁工作。</w:t>
                  </w:r>
                </w:p>
                <w:p>
                  <w:pPr>
                    <w:pStyle w:val="null3"/>
                    <w:ind w:firstLine="420"/>
                    <w:jc w:val="both"/>
                  </w:pPr>
                  <w:r>
                    <w:rPr>
                      <w:sz w:val="24"/>
                    </w:rPr>
                    <w:t>3、成交供应商要严格遵守国家劳动法以及省、市有关规定，切实保障员工工资、福利和社会保险等合法权益。</w:t>
                  </w:r>
                </w:p>
                <w:p>
                  <w:pPr>
                    <w:pStyle w:val="null3"/>
                    <w:ind w:firstLine="420"/>
                    <w:jc w:val="both"/>
                  </w:pPr>
                  <w:r>
                    <w:rPr>
                      <w:sz w:val="24"/>
                    </w:rPr>
                    <w:t>4、成交供应商应严格遵守国家法律、法规的规定，做好社会治安综合治理等工作，不得违反国家法律、法规的规定。如成交供应商员工有任何违法乱纪行为，成交供应商承担一切经济责任和法律责任；</w:t>
                  </w:r>
                </w:p>
                <w:p>
                  <w:pPr>
                    <w:pStyle w:val="null3"/>
                    <w:ind w:firstLine="420"/>
                    <w:jc w:val="both"/>
                  </w:pPr>
                  <w:r>
                    <w:rPr>
                      <w:sz w:val="24"/>
                    </w:rPr>
                    <w:t>5、在合同期内，因国家建设需要征用或采购人管理需要调整成交供应商地段时，采购人有权单方决定相应减少面积及合同价款。由此造成的经济损失，采购人不负赔偿责任。</w:t>
                  </w:r>
                </w:p>
                <w:p>
                  <w:pPr>
                    <w:pStyle w:val="null3"/>
                    <w:ind w:firstLine="420"/>
                    <w:jc w:val="both"/>
                  </w:pPr>
                  <w:r>
                    <w:rPr>
                      <w:sz w:val="24"/>
                    </w:rPr>
                    <w:t>6、成交供应商无故停止工作，采购人有权按损失程度扣减保洁款，同时成交供应商要向采购人支付合同价款总额5%的违约金。若无故停工累计达2次，采购人有权单方面解除合同。</w:t>
                  </w:r>
                </w:p>
                <w:p>
                  <w:pPr>
                    <w:pStyle w:val="null3"/>
                    <w:ind w:firstLine="420"/>
                    <w:jc w:val="both"/>
                  </w:pPr>
                  <w:r>
                    <w:rPr>
                      <w:sz w:val="24"/>
                    </w:rPr>
                    <w:t>7、由于承包范围内的环卫设施被盗或损坏或操作不当而导致他人死伤或造成其他损失的，由成交供应商负责赔偿和承担一切责任。</w:t>
                  </w:r>
                </w:p>
                <w:p>
                  <w:pPr>
                    <w:pStyle w:val="null3"/>
                    <w:ind w:firstLine="420"/>
                    <w:jc w:val="both"/>
                  </w:pPr>
                  <w:r>
                    <w:rPr>
                      <w:sz w:val="24"/>
                    </w:rPr>
                    <w:t>8、成交供应商必须按实际要求配足作业人员，配员不能低于该路段的最低配员标准。说明：招标文件要求的作业人员数量配置为最低要求，成交供应商在确认中标资格后，且成交供应商与采购人签订合同之前将作业人员相关资料(包括人员名单、已聘用人员劳动合同及社保证明、新聘用员工资料等)提交采购人备案，作业司机、突发事件的临时应急队伍等作业人员年龄须 55 周岁以下。</w:t>
                  </w:r>
                </w:p>
                <w:p>
                  <w:pPr>
                    <w:pStyle w:val="null3"/>
                    <w:ind w:firstLine="420"/>
                    <w:jc w:val="both"/>
                  </w:pPr>
                  <w:r>
                    <w:rPr>
                      <w:sz w:val="24"/>
                    </w:rPr>
                    <w:t>9、成交供应商必须在与采购人签订合同之前配置齐全符合招标文件要求的人员，并提供所有作业人员相关资料(包括人员名单、已聘用人员工资表及新聘用员工资料等)采购人查验，否则采购人有权取消其中标资格。</w:t>
                  </w:r>
                </w:p>
                <w:p>
                  <w:pPr>
                    <w:pStyle w:val="null3"/>
                    <w:ind w:firstLine="420"/>
                    <w:jc w:val="both"/>
                  </w:pPr>
                  <w:r>
                    <w:rPr>
                      <w:sz w:val="24"/>
                    </w:rPr>
                    <w:t>10、成交供应商原则上应接收本项目所涉区域原有相关员工，依法依规签订新的劳动合同，建立和谐的劳动关系。成交供应商依法解雇原有员工的，应采取平稳的方式逐步解雇，不得发生歇工及群体性上访事件。</w:t>
                  </w:r>
                </w:p>
                <w:p>
                  <w:pPr>
                    <w:pStyle w:val="null3"/>
                    <w:ind w:firstLine="420"/>
                    <w:jc w:val="both"/>
                  </w:pPr>
                  <w:r>
                    <w:rPr>
                      <w:sz w:val="24"/>
                    </w:rPr>
                    <w:t>11、成交供应商应每月将上一个月员工工资及加班费发放情况提交采购人备案，以便采购人检查。</w:t>
                  </w:r>
                </w:p>
                <w:p>
                  <w:pPr>
                    <w:pStyle w:val="null3"/>
                    <w:ind w:firstLine="420"/>
                    <w:jc w:val="both"/>
                  </w:pPr>
                  <w:r>
                    <w:rPr>
                      <w:sz w:val="24"/>
                    </w:rPr>
                    <w:t>12、成交供应商与员工解除或终止劳动关系，必须依照劳动管理等方面法律、法规、规章和其它规范性文件的规定向员工支付经济补偿金、赔偿金及其他应当支付的款项。</w:t>
                  </w:r>
                </w:p>
                <w:p>
                  <w:pPr>
                    <w:pStyle w:val="null3"/>
                    <w:ind w:firstLine="420"/>
                    <w:jc w:val="both"/>
                  </w:pPr>
                  <w:r>
                    <w:rPr>
                      <w:sz w:val="24"/>
                    </w:rPr>
                    <w:t>13、成交供应商应遵守法律、法规、规章或其他相关规范性文件的规定，并承担其因违法违规所引起的全部经济损失和法律责任。</w:t>
                  </w:r>
                </w:p>
                <w:p>
                  <w:pPr>
                    <w:pStyle w:val="null3"/>
                    <w:ind w:firstLine="420"/>
                    <w:jc w:val="both"/>
                  </w:pPr>
                  <w:r>
                    <w:rPr>
                      <w:sz w:val="24"/>
                    </w:rPr>
                    <w:t>14、如因成交供应商不及时清扫或清扫不彻底等原因而发生交通事故或其他意外事故，致任何第三人人身或财产受损的，成交供应商应承担全部责任。如采购人在前述情形中实际承担了赔偿责任的，成交供应商同意无条件赔偿采购人的一切损失（包括但不限于采购人已赔偿的费用、采购人为向成交供应商追讨相关费用而支付的诉讼费、保全费、鉴定费、公证费、律师费、差旅费等所有费用）。</w:t>
                  </w:r>
                </w:p>
                <w:p>
                  <w:pPr>
                    <w:pStyle w:val="null3"/>
                    <w:ind w:firstLine="420"/>
                    <w:jc w:val="both"/>
                  </w:pPr>
                  <w:r>
                    <w:rPr>
                      <w:sz w:val="24"/>
                    </w:rPr>
                    <w:t>15、成交供应商应按照国家、省、市或其他相关疫情防控文件的要求，开展疫情防控工作，并承担其因违反有关规定和要求所引起的全部经济损失和法律责任。</w:t>
                  </w:r>
                </w:p>
                <w:p>
                  <w:pPr>
                    <w:pStyle w:val="null3"/>
                    <w:ind w:firstLine="420"/>
                    <w:jc w:val="both"/>
                  </w:pPr>
                  <w:r>
                    <w:rPr>
                      <w:sz w:val="24"/>
                    </w:rPr>
                    <w:t>16、服务期内，若成交供应商的服务效果未达到招标文件要求的质量标准，成交供应商须无条件服从采购人的要求增加设备及人员，直至达到招标文件要求的质量标准为止。</w:t>
                  </w:r>
                </w:p>
                <w:p>
                  <w:pPr>
                    <w:pStyle w:val="null3"/>
                    <w:ind w:firstLine="420"/>
                    <w:jc w:val="both"/>
                  </w:pPr>
                  <w:r>
                    <w:rPr>
                      <w:sz w:val="24"/>
                    </w:rPr>
                    <w:t>17、服务期内，采购人有权根据市城管局及其他部门等相关文件规定对成交供应商投入的作业人员和作业车辆进行信息化管理，成交供应商应提前考虑有关设备成本投入并无条件服从。</w:t>
                  </w:r>
                </w:p>
                <w:p>
                  <w:pPr>
                    <w:pStyle w:val="null3"/>
                    <w:ind w:firstLine="420"/>
                    <w:jc w:val="both"/>
                  </w:pPr>
                  <w:r>
                    <w:rPr>
                      <w:sz w:val="24"/>
                    </w:rPr>
                    <w:t>18、在合同期内，因政府部门规划建设及政策变化等原因需调整服务范围或者提前终止合同时，成交供应商应服从大局，由此造成的经济损失，采购人不负违约责任。</w:t>
                  </w:r>
                </w:p>
                <w:p>
                  <w:pPr>
                    <w:pStyle w:val="null3"/>
                    <w:ind w:firstLine="420"/>
                    <w:jc w:val="both"/>
                  </w:pPr>
                  <w:r>
                    <w:rPr>
                      <w:sz w:val="24"/>
                    </w:rPr>
                    <w:t>19、在符合供水规划和技术条件下，采购人可协助成交供应商按实际需要办理养护专用给水口，人工费、材料费等由成交供应商支付。</w:t>
                  </w:r>
                </w:p>
                <w:p>
                  <w:pPr>
                    <w:pStyle w:val="null3"/>
                    <w:ind w:firstLine="422"/>
                    <w:jc w:val="both"/>
                  </w:pPr>
                  <w:r>
                    <w:rPr>
                      <w:sz w:val="24"/>
                      <w:b/>
                    </w:rPr>
                    <w:t>四、考核和奖惩</w:t>
                  </w:r>
                </w:p>
                <w:p>
                  <w:pPr>
                    <w:pStyle w:val="null3"/>
                    <w:ind w:firstLine="420"/>
                    <w:jc w:val="both"/>
                  </w:pPr>
                  <w:r>
                    <w:rPr>
                      <w:sz w:val="24"/>
                    </w:rPr>
                    <w:t>对成交供应商的考核以日常检查考核、月度检查考核以及综合月度考评三种方式结合进行。</w:t>
                  </w:r>
                </w:p>
                <w:p>
                  <w:pPr>
                    <w:pStyle w:val="null3"/>
                    <w:ind w:firstLine="420"/>
                    <w:jc w:val="both"/>
                  </w:pPr>
                  <w:r>
                    <w:rPr>
                      <w:sz w:val="24"/>
                    </w:rPr>
                    <w:t>1.日常检查考核办法</w:t>
                  </w:r>
                </w:p>
                <w:p>
                  <w:pPr>
                    <w:pStyle w:val="null3"/>
                    <w:ind w:firstLine="420"/>
                    <w:jc w:val="both"/>
                  </w:pPr>
                  <w:r>
                    <w:rPr>
                      <w:sz w:val="24"/>
                    </w:rPr>
                    <w:t>日常检查工作包括采购人随机抽查及监理根据养护工作需要对成交供应商的日常绿化养护工作进行常态巡查监督。现场检查发现存在的问题，予以整改通知，并将有关情况上报。整改通知书由监理下发，成交供应商收到后应在</w:t>
                  </w:r>
                  <w:r>
                    <w:rPr>
                      <w:sz w:val="24"/>
                    </w:rPr>
                    <w:t>24小时内书面承诺完成整改的措施和时间，加盖公司公章后交回采购人处备案。日常考核工作由采购人根据日常检查工作发现有关情况对成交供应商该段时间养护工作进行考评，按照《连平县生态工业园环卫保洁与绿化养护项目日常考核评分标准》内容进行考核评分，并委托监理将评分结果通报成交供应商。日常考核评分占月度考核总评分的60%（每月日常考核评分不少于2次，取平均分作为日常考核评分）。</w:t>
                  </w:r>
                </w:p>
                <w:p>
                  <w:pPr>
                    <w:pStyle w:val="null3"/>
                    <w:ind w:firstLine="420"/>
                    <w:jc w:val="both"/>
                  </w:pPr>
                  <w:r>
                    <w:rPr>
                      <w:sz w:val="24"/>
                    </w:rPr>
                    <w:t>2.月度考评办法</w:t>
                  </w:r>
                </w:p>
                <w:p>
                  <w:pPr>
                    <w:pStyle w:val="null3"/>
                    <w:ind w:firstLine="420"/>
                    <w:jc w:val="both"/>
                  </w:pPr>
                  <w:r>
                    <w:rPr>
                      <w:sz w:val="24"/>
                    </w:rPr>
                    <w:t>月度考核工作由采购人负责组织成交供应商实施，对成交供应商养护工作及效果进行集中性检查，以随机抽查不少于</w:t>
                  </w:r>
                  <w:r>
                    <w:rPr>
                      <w:sz w:val="24"/>
                    </w:rPr>
                    <w:t>5处的形式对该月养护工作进行现场检查考核，按照《连平县生态工业园环卫保洁与绿化养护项目月度考核评分标准》内容进行考核评分。考评内容包括：一是成交供应商要按照每月的工作计划内容及进度正确填写《日常养护作业记录表》，月度考评当日由考评小组成员查阅相关记录资料是否齐全；二是对检查路段进行抽查和专项检查，尤其是对日常巡查时发现的养护问题进行重点检查，并做好检查记录及评分，并由监理现场拍照留证；三是月度考评结束后当场总结考评情况，告知成交供应商在考评时发现的问题，并要求限期内完成相关问题整改，告知成交供应商下个月工作重点。月度考评现场评分，月度考核评分占月度考核总评分的40%。</w:t>
                  </w:r>
                </w:p>
                <w:p>
                  <w:pPr>
                    <w:pStyle w:val="null3"/>
                    <w:ind w:firstLine="420"/>
                    <w:jc w:val="both"/>
                  </w:pPr>
                  <w:r>
                    <w:rPr>
                      <w:sz w:val="24"/>
                    </w:rPr>
                    <w:t>3.综合月度考评办法</w:t>
                  </w:r>
                </w:p>
                <w:p>
                  <w:pPr>
                    <w:pStyle w:val="null3"/>
                    <w:ind w:firstLine="420"/>
                    <w:jc w:val="both"/>
                  </w:pPr>
                  <w:r>
                    <w:rPr>
                      <w:sz w:val="24"/>
                    </w:rPr>
                    <w:t>综合月度考评分按百分制打分，日常考核的分值（每月日常考核评分不少于</w:t>
                  </w:r>
                  <w:r>
                    <w:rPr>
                      <w:sz w:val="24"/>
                    </w:rPr>
                    <w:t>2次，取平均分作为日常考核评分）比例占月度考核总评分的60%，月度考核评分占月度考核总评分的40%。月度考核总评分80分或以上的为“好”，全额领取当月养护费；79分以下至60分以上（含60分）为“中”，如得分79分，当月养护费用领取值为79%，以此类推。月度考核总评分60分以下的为“差”，采购人可不支付当月的养护费。每月月度考评结果由采购人统一编制《月度考评情况通报表》，详细列明考核情况和存在问题，并下发到成交供应商处。</w:t>
                  </w:r>
                </w:p>
                <w:p>
                  <w:pPr>
                    <w:pStyle w:val="null3"/>
                    <w:ind w:firstLine="420"/>
                    <w:jc w:val="both"/>
                  </w:pPr>
                  <w:r>
                    <w:rPr>
                      <w:sz w:val="24"/>
                    </w:rPr>
                    <w:t>4.检查评分标准：按《连平县生态工业园环卫保洁与绿化养护项目日常考核评分标准》《连平县生态工业园环卫保洁与绿化养护项目月度考核评分标准》执行。采购人有权根据实际情况变化，对上述标准进行修改。</w:t>
                  </w:r>
                </w:p>
                <w:p>
                  <w:pPr>
                    <w:pStyle w:val="null3"/>
                    <w:ind w:firstLine="420"/>
                    <w:jc w:val="both"/>
                  </w:pPr>
                  <w:r>
                    <w:rPr>
                      <w:sz w:val="24"/>
                    </w:rPr>
                    <w:t>5.按照现状或上一合同期移交的苗木清单，对绿化苗木及设施进行抽样检查，若发现有数量、规格、质量、品种等不符现象，且有损原状或损坏采购人利益的，成交供应商要按受损价值的2倍赔偿给采购人，并恢复其原状。</w:t>
                  </w:r>
                </w:p>
                <w:p>
                  <w:pPr>
                    <w:pStyle w:val="null3"/>
                    <w:ind w:firstLine="420"/>
                    <w:jc w:val="both"/>
                  </w:pPr>
                  <w:r>
                    <w:rPr>
                      <w:sz w:val="24"/>
                    </w:rPr>
                    <w:t>6.成交供应商在合同签订后一个月内采购文件的要求及响应文件的承诺做好服务技术方案和质量实施方案，向采购人提交本年度养护工作计划，并于每月25日前提交当月自查报告、安全生产工作记录、养护工作记录表和下月的工作实施计划。年度工作计划和月工作实施方案经采购人审核修改后实施。成交供应商要按工作进度填写好《日常养护作业记录表》，作为考评依据。</w:t>
                  </w:r>
                </w:p>
                <w:p>
                  <w:pPr>
                    <w:pStyle w:val="null3"/>
                    <w:ind w:firstLine="420"/>
                    <w:jc w:val="both"/>
                  </w:pPr>
                  <w:r>
                    <w:rPr>
                      <w:sz w:val="24"/>
                    </w:rPr>
                    <w:t>7.服务期内，若成交供应商的养护质量优秀、管理到位的，采购人可根据相关规定对成交供应商给予奖励。</w:t>
                  </w:r>
                </w:p>
                <w:p>
                  <w:pPr>
                    <w:pStyle w:val="null3"/>
                    <w:ind w:firstLine="420"/>
                    <w:jc w:val="both"/>
                  </w:pPr>
                  <w:r>
                    <w:rPr>
                      <w:sz w:val="24"/>
                      <w:b/>
                    </w:rPr>
                    <w:t>五、</w:t>
                  </w:r>
                  <w:r>
                    <w:rPr>
                      <w:sz w:val="24"/>
                      <w:b/>
                    </w:rPr>
                    <w:t>项目清单</w:t>
                  </w:r>
                </w:p>
                <w:p>
                  <w:pPr>
                    <w:pStyle w:val="null3"/>
                    <w:jc w:val="center"/>
                  </w:pPr>
                  <w:r>
                    <w:rPr>
                      <w:sz w:val="24"/>
                      <w:b/>
                    </w:rPr>
                    <w:t>生态工业园环卫保洁</w:t>
                  </w:r>
                  <w:r>
                    <w:rPr>
                      <w:sz w:val="24"/>
                      <w:b/>
                    </w:rPr>
                    <w:t>(含垃圾收集和公厕管养)</w:t>
                  </w:r>
                </w:p>
                <w:p>
                  <w:pPr>
                    <w:pStyle w:val="null3"/>
                    <w:jc w:val="both"/>
                  </w:pPr>
                  <w:r>
                    <w:rPr>
                      <w:sz w:val="24"/>
                    </w:rPr>
                    <w:t>（</w:t>
                  </w:r>
                  <w:r>
                    <w:rPr>
                      <w:sz w:val="24"/>
                    </w:rPr>
                    <w:t>1）人员薪酬福利</w:t>
                  </w:r>
                </w:p>
                <w:tbl>
                  <w:tblPr>
                    <w:tblInd w:type="dxa" w:w="120"/>
                    <w:tblBorders>
                      <w:top w:val="none" w:color="000000" w:sz="4"/>
                      <w:left w:val="none" w:color="000000" w:sz="4"/>
                      <w:bottom w:val="none" w:color="000000" w:sz="4"/>
                      <w:right w:val="none" w:color="000000" w:sz="4"/>
                      <w:insideH w:val="none"/>
                      <w:insideV w:val="none"/>
                    </w:tblBorders>
                  </w:tblPr>
                  <w:tblGrid>
                    <w:gridCol w:w="738"/>
                    <w:gridCol w:w="1579"/>
                    <w:gridCol w:w="473"/>
                    <w:gridCol w:w="465"/>
                    <w:gridCol w:w="1058"/>
                  </w:tblGrid>
                  <w:tr>
                    <w:tc>
                      <w:tcPr>
                        <w:tcW w:type="dxa" w:w="73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项目</w:t>
                        </w:r>
                      </w:p>
                    </w:tc>
                    <w:tc>
                      <w:tcPr>
                        <w:tcW w:type="dxa" w:w="157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名称</w:t>
                        </w:r>
                      </w:p>
                    </w:tc>
                    <w:tc>
                      <w:tcPr>
                        <w:tcW w:type="dxa" w:w="47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单位</w:t>
                        </w:r>
                      </w:p>
                    </w:tc>
                    <w:tc>
                      <w:tcPr>
                        <w:tcW w:type="dxa" w:w="46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数量</w:t>
                        </w:r>
                      </w:p>
                    </w:tc>
                    <w:tc>
                      <w:tcPr>
                        <w:tcW w:type="dxa" w:w="105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备注</w:t>
                        </w:r>
                      </w:p>
                    </w:tc>
                  </w:tr>
                  <w:tr>
                    <w:tc>
                      <w:tcPr>
                        <w:tcW w:type="dxa" w:w="73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综合管理</w:t>
                        </w:r>
                      </w:p>
                    </w:tc>
                    <w:tc>
                      <w:tcPr>
                        <w:tcW w:type="dxa" w:w="15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项目经理</w:t>
                        </w:r>
                      </w:p>
                    </w:tc>
                    <w:tc>
                      <w:tcPr>
                        <w:tcW w:type="dxa" w:w="4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0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基本工资</w:t>
                        </w:r>
                        <w:r>
                          <w:rPr>
                            <w:sz w:val="24"/>
                          </w:rPr>
                          <w:t>+绩效 +补贴+年终奖，含车补</w:t>
                        </w:r>
                      </w:p>
                    </w:tc>
                  </w:tr>
                  <w:tr>
                    <w:tc>
                      <w:tcPr>
                        <w:tcW w:type="dxa" w:w="738"/>
                        <w:vMerge/>
                        <w:tcBorders>
                          <w:top w:val="none" w:color="000000" w:sz="4"/>
                          <w:left w:val="single" w:color="000000" w:sz="4"/>
                          <w:bottom w:val="single" w:color="000000" w:sz="4"/>
                          <w:right w:val="single" w:color="000000" w:sz="4"/>
                        </w:tcBorders>
                      </w:tcPr>
                      <w:p/>
                    </w:tc>
                    <w:tc>
                      <w:tcPr>
                        <w:tcW w:type="dxa" w:w="15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文员</w:t>
                        </w:r>
                      </w:p>
                    </w:tc>
                    <w:tc>
                      <w:tcPr>
                        <w:tcW w:type="dxa" w:w="4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0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综管文员</w:t>
                        </w:r>
                        <w:r>
                          <w:rPr>
                            <w:sz w:val="24"/>
                          </w:rPr>
                          <w:t>1名，兼财务相关工作</w:t>
                        </w:r>
                      </w:p>
                    </w:tc>
                  </w:tr>
                  <w:tr>
                    <w:tc>
                      <w:tcPr>
                        <w:tcW w:type="dxa" w:w="738"/>
                        <w:vMerge/>
                        <w:tcBorders>
                          <w:top w:val="none" w:color="000000" w:sz="4"/>
                          <w:left w:val="single" w:color="000000" w:sz="4"/>
                          <w:bottom w:val="single" w:color="000000" w:sz="4"/>
                          <w:right w:val="single" w:color="000000" w:sz="4"/>
                        </w:tcBorders>
                      </w:tcPr>
                      <w:p/>
                    </w:tc>
                    <w:tc>
                      <w:tcPr>
                        <w:tcW w:type="dxa" w:w="15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车队长</w:t>
                        </w:r>
                      </w:p>
                    </w:tc>
                    <w:tc>
                      <w:tcPr>
                        <w:tcW w:type="dxa" w:w="4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0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车队管理兼备用驾驶员</w:t>
                        </w:r>
                      </w:p>
                    </w:tc>
                  </w:tr>
                  <w:tr>
                    <w:tc>
                      <w:tcPr>
                        <w:tcW w:type="dxa" w:w="738"/>
                        <w:vMerge/>
                        <w:tcBorders>
                          <w:top w:val="none" w:color="000000" w:sz="4"/>
                          <w:left w:val="single" w:color="000000" w:sz="4"/>
                          <w:bottom w:val="single" w:color="000000" w:sz="4"/>
                          <w:right w:val="single" w:color="000000" w:sz="4"/>
                        </w:tcBorders>
                      </w:tcPr>
                      <w:p/>
                    </w:tc>
                    <w:tc>
                      <w:tcPr>
                        <w:tcW w:type="dxa" w:w="15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保安员</w:t>
                        </w:r>
                        <w:r>
                          <w:rPr>
                            <w:sz w:val="24"/>
                          </w:rPr>
                          <w:t>-项目部停车场</w:t>
                        </w:r>
                      </w:p>
                    </w:tc>
                    <w:tc>
                      <w:tcPr>
                        <w:tcW w:type="dxa" w:w="4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0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登记、看场地、管车钥匙</w:t>
                        </w:r>
                      </w:p>
                    </w:tc>
                  </w:tr>
                  <w:tr>
                    <w:tc>
                      <w:tcPr>
                        <w:tcW w:type="dxa" w:w="73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清扫</w:t>
                        </w:r>
                        <w:r>
                          <w:rPr>
                            <w:sz w:val="24"/>
                          </w:rPr>
                          <w:t>保洁</w:t>
                        </w:r>
                      </w:p>
                    </w:tc>
                    <w:tc>
                      <w:tcPr>
                        <w:tcW w:type="dxa" w:w="15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清扫保洁主管</w:t>
                        </w:r>
                      </w:p>
                    </w:tc>
                    <w:tc>
                      <w:tcPr>
                        <w:tcW w:type="dxa" w:w="4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0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配置</w:t>
                        </w:r>
                        <w:r>
                          <w:rPr>
                            <w:sz w:val="24"/>
                          </w:rPr>
                          <w:t>1名，管理 现场作业</w:t>
                        </w:r>
                      </w:p>
                    </w:tc>
                  </w:tr>
                  <w:tr>
                    <w:tc>
                      <w:tcPr>
                        <w:tcW w:type="dxa" w:w="738"/>
                        <w:vMerge/>
                        <w:tcBorders>
                          <w:top w:val="none" w:color="000000" w:sz="4"/>
                          <w:left w:val="single" w:color="000000" w:sz="4"/>
                          <w:bottom w:val="single" w:color="000000" w:sz="4"/>
                          <w:right w:val="single" w:color="000000" w:sz="4"/>
                        </w:tcBorders>
                      </w:tcPr>
                      <w:p/>
                    </w:tc>
                    <w:tc>
                      <w:tcPr>
                        <w:tcW w:type="dxa" w:w="15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保洁员</w:t>
                        </w:r>
                      </w:p>
                    </w:tc>
                    <w:tc>
                      <w:tcPr>
                        <w:tcW w:type="dxa" w:w="4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20</w:t>
                        </w:r>
                      </w:p>
                    </w:tc>
                    <w:tc>
                      <w:tcPr>
                        <w:tcW w:type="dxa" w:w="10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人行道面积约</w:t>
                        </w:r>
                        <w:r>
                          <w:rPr>
                            <w:sz w:val="24"/>
                          </w:rPr>
                          <w:t>为</w:t>
                        </w:r>
                        <w:r>
                          <w:rPr>
                            <w:sz w:val="24"/>
                          </w:rPr>
                          <w:t>58878 m按 8000 m/人配置</w:t>
                        </w:r>
                      </w:p>
                    </w:tc>
                  </w:tr>
                  <w:tr>
                    <w:tc>
                      <w:tcPr>
                        <w:tcW w:type="dxa" w:w="738"/>
                        <w:vMerge/>
                        <w:tcBorders>
                          <w:top w:val="none" w:color="000000" w:sz="4"/>
                          <w:left w:val="single" w:color="000000" w:sz="4"/>
                          <w:bottom w:val="single" w:color="000000" w:sz="4"/>
                          <w:right w:val="single" w:color="000000" w:sz="4"/>
                        </w:tcBorders>
                      </w:tcPr>
                      <w:p/>
                    </w:tc>
                    <w:tc>
                      <w:tcPr>
                        <w:tcW w:type="dxa" w:w="15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驾驶员</w:t>
                        </w:r>
                        <w:r>
                          <w:rPr>
                            <w:sz w:val="24"/>
                          </w:rPr>
                          <w:t>-清扫车辆</w:t>
                        </w:r>
                      </w:p>
                    </w:tc>
                    <w:tc>
                      <w:tcPr>
                        <w:tcW w:type="dxa" w:w="4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c>
                      <w:tcPr>
                        <w:tcW w:type="dxa" w:w="10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包含洗扫车驾驶员</w:t>
                        </w:r>
                        <w:r>
                          <w:rPr>
                            <w:sz w:val="24"/>
                          </w:rPr>
                          <w:t>1人，水车驾驶员2人，雾炮车驾驶员1人</w:t>
                        </w:r>
                      </w:p>
                    </w:tc>
                  </w:tr>
                  <w:tr>
                    <w:tc>
                      <w:tcPr>
                        <w:tcW w:type="dxa" w:w="7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公厕</w:t>
                        </w:r>
                      </w:p>
                    </w:tc>
                    <w:tc>
                      <w:tcPr>
                        <w:tcW w:type="dxa" w:w="15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公厕清扫保洁员</w:t>
                        </w:r>
                      </w:p>
                    </w:tc>
                    <w:tc>
                      <w:tcPr>
                        <w:tcW w:type="dxa" w:w="4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0</w:t>
                        </w:r>
                      </w:p>
                    </w:tc>
                    <w:tc>
                      <w:tcPr>
                        <w:tcW w:type="dxa" w:w="10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在用公厕</w:t>
                        </w:r>
                        <w:r>
                          <w:rPr>
                            <w:sz w:val="24"/>
                          </w:rPr>
                          <w:t>1座，养护工作由该路段保洁员兼职</w:t>
                        </w:r>
                      </w:p>
                    </w:tc>
                  </w:tr>
                  <w:tr>
                    <w:tc>
                      <w:tcPr>
                        <w:tcW w:type="dxa" w:w="7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15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侧挂桶三轮车收集工</w:t>
                        </w:r>
                      </w:p>
                    </w:tc>
                    <w:tc>
                      <w:tcPr>
                        <w:tcW w:type="dxa" w:w="4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0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负责收运小区以及较狭窄道</w:t>
                        </w:r>
                        <w:r>
                          <w:rPr>
                            <w:sz w:val="24"/>
                          </w:rPr>
                          <w:t>路的垃圾桶</w:t>
                        </w:r>
                      </w:p>
                    </w:tc>
                  </w:tr>
                  <w:tr>
                    <w:tc>
                      <w:tcPr>
                        <w:tcW w:type="dxa" w:w="73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垃圾</w:t>
                        </w:r>
                        <w:r>
                          <w:rPr>
                            <w:sz w:val="24"/>
                          </w:rPr>
                          <w:t>收集</w:t>
                        </w:r>
                      </w:p>
                    </w:tc>
                    <w:tc>
                      <w:tcPr>
                        <w:tcW w:type="dxa" w:w="15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驾驶员</w:t>
                        </w:r>
                        <w:r>
                          <w:rPr>
                            <w:sz w:val="24"/>
                          </w:rPr>
                          <w:t>-收集车辆-垃圾压 缩车</w:t>
                        </w:r>
                      </w:p>
                    </w:tc>
                    <w:tc>
                      <w:tcPr>
                        <w:tcW w:type="dxa" w:w="4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0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负责道路与工厂垃圾桶垃圾的收集</w:t>
                        </w:r>
                      </w:p>
                    </w:tc>
                  </w:tr>
                  <w:tr>
                    <w:tc>
                      <w:tcPr>
                        <w:tcW w:type="dxa" w:w="738"/>
                        <w:vMerge/>
                        <w:tcBorders>
                          <w:top w:val="none" w:color="000000" w:sz="4"/>
                          <w:left w:val="single" w:color="000000" w:sz="4"/>
                          <w:bottom w:val="single" w:color="000000" w:sz="4"/>
                          <w:right w:val="single" w:color="000000" w:sz="4"/>
                        </w:tcBorders>
                      </w:tcPr>
                      <w:p/>
                    </w:tc>
                    <w:tc>
                      <w:tcPr>
                        <w:tcW w:type="dxa" w:w="15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辅助工</w:t>
                        </w:r>
                      </w:p>
                    </w:tc>
                    <w:tc>
                      <w:tcPr>
                        <w:tcW w:type="dxa" w:w="4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0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每台垃圾压缩车配置</w:t>
                        </w:r>
                        <w:r>
                          <w:rPr>
                            <w:sz w:val="24"/>
                          </w:rPr>
                          <w:t>1 名</w:t>
                        </w:r>
                      </w:p>
                    </w:tc>
                  </w:tr>
                  <w:tr>
                    <w:tc>
                      <w:tcPr>
                        <w:tcW w:type="dxa" w:w="7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社保及福利</w:t>
                        </w:r>
                      </w:p>
                    </w:tc>
                    <w:tc>
                      <w:tcPr>
                        <w:tcW w:type="dxa" w:w="15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社会保险</w:t>
                        </w:r>
                      </w:p>
                    </w:tc>
                    <w:tc>
                      <w:tcPr>
                        <w:tcW w:type="dxa" w:w="4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32</w:t>
                        </w:r>
                      </w:p>
                    </w:tc>
                    <w:tc>
                      <w:tcPr>
                        <w:tcW w:type="dxa" w:w="10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按</w:t>
                        </w:r>
                        <w:r>
                          <w:rPr>
                            <w:sz w:val="24"/>
                          </w:rPr>
                          <w:t>2024年度社保企业缴费部分计算</w:t>
                        </w:r>
                      </w:p>
                    </w:tc>
                  </w:tr>
                </w:tbl>
                <w:p>
                  <w:pPr>
                    <w:pStyle w:val="null3"/>
                    <w:jc w:val="both"/>
                  </w:pPr>
                  <w:r>
                    <w:rPr>
                      <w:sz w:val="24"/>
                    </w:rPr>
                    <w:t>（</w:t>
                  </w:r>
                  <w:r>
                    <w:rPr>
                      <w:sz w:val="24"/>
                    </w:rPr>
                    <w:t>2）车辆设备折旧</w:t>
                  </w:r>
                </w:p>
                <w:tbl>
                  <w:tblPr>
                    <w:tblInd w:type="dxa" w:w="120"/>
                    <w:tblBorders>
                      <w:top w:val="none" w:color="000000" w:sz="4"/>
                      <w:left w:val="none" w:color="000000" w:sz="4"/>
                      <w:bottom w:val="none" w:color="000000" w:sz="4"/>
                      <w:right w:val="none" w:color="000000" w:sz="4"/>
                      <w:insideH w:val="none"/>
                      <w:insideV w:val="none"/>
                    </w:tblBorders>
                  </w:tblPr>
                  <w:tblGrid>
                    <w:gridCol w:w="694"/>
                    <w:gridCol w:w="1489"/>
                    <w:gridCol w:w="405"/>
                    <w:gridCol w:w="428"/>
                    <w:gridCol w:w="1396"/>
                  </w:tblGrid>
                  <w:tr>
                    <w:tc>
                      <w:tcPr>
                        <w:tcW w:type="dxa" w:w="69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项目</w:t>
                        </w:r>
                      </w:p>
                    </w:tc>
                    <w:tc>
                      <w:tcPr>
                        <w:tcW w:type="dxa" w:w="148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名称</w:t>
                        </w:r>
                      </w:p>
                    </w:tc>
                    <w:tc>
                      <w:tcPr>
                        <w:tcW w:type="dxa" w:w="40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单位</w:t>
                        </w:r>
                      </w:p>
                    </w:tc>
                    <w:tc>
                      <w:tcPr>
                        <w:tcW w:type="dxa" w:w="42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数量</w:t>
                        </w:r>
                      </w:p>
                    </w:tc>
                    <w:tc>
                      <w:tcPr>
                        <w:tcW w:type="dxa" w:w="139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备注</w:t>
                        </w:r>
                      </w:p>
                    </w:tc>
                  </w:tr>
                  <w:tr>
                    <w:tc>
                      <w:tcPr>
                        <w:tcW w:type="dxa" w:w="694"/>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清扫</w:t>
                        </w:r>
                        <w:r>
                          <w:rPr>
                            <w:sz w:val="24"/>
                          </w:rPr>
                          <w:t>保洁</w:t>
                        </w:r>
                      </w:p>
                    </w:tc>
                    <w:tc>
                      <w:tcPr>
                        <w:tcW w:type="dxa" w:w="14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电动小三轮保洁务</w:t>
                        </w:r>
                      </w:p>
                    </w:tc>
                    <w:tc>
                      <w:tcPr>
                        <w:tcW w:type="dxa" w:w="4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2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20</w:t>
                        </w:r>
                      </w:p>
                    </w:tc>
                    <w:tc>
                      <w:tcPr>
                        <w:tcW w:type="dxa" w:w="13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按</w:t>
                        </w:r>
                        <w:r>
                          <w:rPr>
                            <w:sz w:val="24"/>
                          </w:rPr>
                          <w:t>5年折旧，保洁员人手配置一台，提高作业机动性</w:t>
                        </w:r>
                      </w:p>
                    </w:tc>
                  </w:tr>
                  <w:tr>
                    <w:tc>
                      <w:tcPr>
                        <w:tcW w:type="dxa" w:w="694"/>
                        <w:vMerge/>
                        <w:tcBorders>
                          <w:top w:val="none" w:color="000000" w:sz="4"/>
                          <w:left w:val="single" w:color="000000" w:sz="4"/>
                          <w:bottom w:val="single" w:color="000000" w:sz="4"/>
                          <w:right w:val="single" w:color="000000" w:sz="4"/>
                        </w:tcBorders>
                      </w:tcPr>
                      <w:p/>
                    </w:tc>
                    <w:tc>
                      <w:tcPr>
                        <w:tcW w:type="dxa" w:w="14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电动三轮车</w:t>
                        </w:r>
                        <w:r>
                          <w:rPr>
                            <w:sz w:val="24"/>
                          </w:rPr>
                          <w:t>+牛皮癣机-清洗垃圾桶</w:t>
                        </w:r>
                      </w:p>
                    </w:tc>
                    <w:tc>
                      <w:tcPr>
                        <w:tcW w:type="dxa" w:w="4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2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3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5年折旧。打牛皮癣，清洗 垃圾桶</w:t>
                        </w:r>
                      </w:p>
                    </w:tc>
                  </w:tr>
                  <w:tr>
                    <w:tc>
                      <w:tcPr>
                        <w:tcW w:type="dxa" w:w="694"/>
                        <w:vMerge/>
                        <w:tcBorders>
                          <w:top w:val="none" w:color="000000" w:sz="4"/>
                          <w:left w:val="single" w:color="000000" w:sz="4"/>
                          <w:bottom w:val="single" w:color="000000" w:sz="4"/>
                          <w:right w:val="single" w:color="000000" w:sz="4"/>
                        </w:tcBorders>
                      </w:tcPr>
                      <w:p/>
                    </w:tc>
                    <w:tc>
                      <w:tcPr>
                        <w:tcW w:type="dxa" w:w="14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洗扫车</w:t>
                        </w:r>
                        <w:r>
                          <w:rPr>
                            <w:sz w:val="24"/>
                          </w:rPr>
                          <w:t>-车型5120</w:t>
                        </w:r>
                      </w:p>
                    </w:tc>
                    <w:tc>
                      <w:tcPr>
                        <w:tcW w:type="dxa" w:w="4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2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3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免征购置税，按</w:t>
                        </w:r>
                        <w:r>
                          <w:rPr>
                            <w:sz w:val="24"/>
                          </w:rPr>
                          <w:t>15年折旧</w:t>
                        </w:r>
                      </w:p>
                    </w:tc>
                  </w:tr>
                  <w:tr>
                    <w:tc>
                      <w:tcPr>
                        <w:tcW w:type="dxa" w:w="694"/>
                        <w:vMerge/>
                        <w:tcBorders>
                          <w:top w:val="none" w:color="000000" w:sz="4"/>
                          <w:left w:val="single" w:color="000000" w:sz="4"/>
                          <w:bottom w:val="single" w:color="000000" w:sz="4"/>
                          <w:right w:val="single" w:color="000000" w:sz="4"/>
                        </w:tcBorders>
                      </w:tcPr>
                      <w:p/>
                    </w:tc>
                    <w:tc>
                      <w:tcPr>
                        <w:tcW w:type="dxa" w:w="14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高压冲洗车</w:t>
                        </w:r>
                        <w:r>
                          <w:rPr>
                            <w:sz w:val="24"/>
                          </w:rPr>
                          <w:t>-车型 5180</w:t>
                        </w:r>
                      </w:p>
                    </w:tc>
                    <w:tc>
                      <w:tcPr>
                        <w:tcW w:type="dxa" w:w="4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2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c>
                      <w:tcPr>
                        <w:tcW w:type="dxa" w:w="13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免征购置税，按</w:t>
                        </w:r>
                        <w:r>
                          <w:rPr>
                            <w:sz w:val="24"/>
                          </w:rPr>
                          <w:t>15年折旧</w:t>
                        </w:r>
                      </w:p>
                    </w:tc>
                  </w:tr>
                  <w:tr>
                    <w:tc>
                      <w:tcPr>
                        <w:tcW w:type="dxa" w:w="694"/>
                        <w:vMerge/>
                        <w:tcBorders>
                          <w:top w:val="none" w:color="000000" w:sz="4"/>
                          <w:left w:val="single" w:color="000000" w:sz="4"/>
                          <w:bottom w:val="single" w:color="000000" w:sz="4"/>
                          <w:right w:val="single" w:color="000000" w:sz="4"/>
                        </w:tcBorders>
                      </w:tcPr>
                      <w:p/>
                    </w:tc>
                    <w:tc>
                      <w:tcPr>
                        <w:tcW w:type="dxa" w:w="14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雾炮车</w:t>
                        </w:r>
                        <w:r>
                          <w:rPr>
                            <w:sz w:val="24"/>
                          </w:rPr>
                          <w:t>-车型5180</w:t>
                        </w:r>
                      </w:p>
                    </w:tc>
                    <w:tc>
                      <w:tcPr>
                        <w:tcW w:type="dxa" w:w="4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2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3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免征购置税，按</w:t>
                        </w:r>
                        <w:r>
                          <w:rPr>
                            <w:sz w:val="24"/>
                          </w:rPr>
                          <w:t>15年折旧</w:t>
                        </w:r>
                      </w:p>
                    </w:tc>
                  </w:tr>
                  <w:tr>
                    <w:tc>
                      <w:tcPr>
                        <w:tcW w:type="dxa" w:w="69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公厕</w:t>
                        </w:r>
                      </w:p>
                    </w:tc>
                    <w:tc>
                      <w:tcPr>
                        <w:tcW w:type="dxa" w:w="14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公厕</w:t>
                        </w:r>
                      </w:p>
                    </w:tc>
                    <w:tc>
                      <w:tcPr>
                        <w:tcW w:type="dxa" w:w="4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座</w:t>
                        </w:r>
                      </w:p>
                    </w:tc>
                    <w:tc>
                      <w:tcPr>
                        <w:tcW w:type="dxa" w:w="42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3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政府建设</w:t>
                        </w:r>
                      </w:p>
                    </w:tc>
                  </w:tr>
                  <w:tr>
                    <w:tc>
                      <w:tcPr>
                        <w:tcW w:type="dxa" w:w="694"/>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垃圾</w:t>
                        </w:r>
                        <w:r>
                          <w:rPr>
                            <w:sz w:val="24"/>
                          </w:rPr>
                          <w:t>收集</w:t>
                        </w:r>
                      </w:p>
                    </w:tc>
                    <w:tc>
                      <w:tcPr>
                        <w:tcW w:type="dxa" w:w="14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侧挂桶三轮车</w:t>
                        </w:r>
                      </w:p>
                    </w:tc>
                    <w:tc>
                      <w:tcPr>
                        <w:tcW w:type="dxa" w:w="4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2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3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按</w:t>
                        </w:r>
                        <w:r>
                          <w:rPr>
                            <w:sz w:val="24"/>
                          </w:rPr>
                          <w:t>8年折旧负责收运小区以及较狭窄道路的垃圾桶</w:t>
                        </w:r>
                      </w:p>
                    </w:tc>
                  </w:tr>
                  <w:tr>
                    <w:tc>
                      <w:tcPr>
                        <w:tcW w:type="dxa" w:w="694"/>
                        <w:vMerge/>
                        <w:tcBorders>
                          <w:top w:val="none" w:color="000000" w:sz="4"/>
                          <w:left w:val="single" w:color="000000" w:sz="4"/>
                          <w:bottom w:val="single" w:color="000000" w:sz="4"/>
                          <w:right w:val="single" w:color="000000" w:sz="4"/>
                        </w:tcBorders>
                      </w:tcPr>
                      <w:p/>
                    </w:tc>
                    <w:tc>
                      <w:tcPr>
                        <w:tcW w:type="dxa" w:w="14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垃圾压缩车</w:t>
                        </w:r>
                        <w:r>
                          <w:rPr>
                            <w:sz w:val="24"/>
                          </w:rPr>
                          <w:t>-车型 5180</w:t>
                        </w:r>
                      </w:p>
                    </w:tc>
                    <w:tc>
                      <w:tcPr>
                        <w:tcW w:type="dxa" w:w="4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2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3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含购置税，按</w:t>
                        </w:r>
                        <w:r>
                          <w:rPr>
                            <w:sz w:val="24"/>
                          </w:rPr>
                          <w:t>15 年折旧。负责道路与工广垃圾 桶垃圾的收集</w:t>
                        </w:r>
                      </w:p>
                    </w:tc>
                  </w:tr>
                  <w:tr>
                    <w:tc>
                      <w:tcPr>
                        <w:tcW w:type="dxa" w:w="694"/>
                        <w:vMerge/>
                        <w:tcBorders>
                          <w:top w:val="none" w:color="000000" w:sz="4"/>
                          <w:left w:val="single" w:color="000000" w:sz="4"/>
                          <w:bottom w:val="single" w:color="000000" w:sz="4"/>
                          <w:right w:val="single" w:color="000000" w:sz="4"/>
                        </w:tcBorders>
                      </w:tcPr>
                      <w:p/>
                    </w:tc>
                    <w:tc>
                      <w:tcPr>
                        <w:tcW w:type="dxa" w:w="14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660L垃圾桶</w:t>
                        </w:r>
                      </w:p>
                    </w:tc>
                    <w:tc>
                      <w:tcPr>
                        <w:tcW w:type="dxa" w:w="4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个</w:t>
                        </w:r>
                      </w:p>
                    </w:tc>
                    <w:tc>
                      <w:tcPr>
                        <w:tcW w:type="dxa" w:w="42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150</w:t>
                        </w:r>
                      </w:p>
                    </w:tc>
                    <w:tc>
                      <w:tcPr>
                        <w:tcW w:type="dxa" w:w="13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数量按实际结算</w:t>
                        </w:r>
                      </w:p>
                    </w:tc>
                  </w:tr>
                </w:tbl>
                <w:p>
                  <w:pPr>
                    <w:pStyle w:val="null3"/>
                    <w:jc w:val="both"/>
                  </w:pPr>
                  <w:r>
                    <w:rPr>
                      <w:sz w:val="24"/>
                    </w:rPr>
                    <w:t>（</w:t>
                  </w:r>
                  <w:r>
                    <w:rPr>
                      <w:sz w:val="24"/>
                    </w:rPr>
                    <w:t>3）运营费用</w:t>
                  </w:r>
                </w:p>
                <w:tbl>
                  <w:tblPr>
                    <w:tblInd w:type="dxa" w:w="120"/>
                    <w:tblBorders>
                      <w:top w:val="none" w:color="000000" w:sz="4"/>
                      <w:left w:val="none" w:color="000000" w:sz="4"/>
                      <w:bottom w:val="none" w:color="000000" w:sz="4"/>
                      <w:right w:val="none" w:color="000000" w:sz="4"/>
                      <w:insideH w:val="none"/>
                      <w:insideV w:val="none"/>
                    </w:tblBorders>
                  </w:tblPr>
                  <w:tblGrid>
                    <w:gridCol w:w="725"/>
                    <w:gridCol w:w="1591"/>
                    <w:gridCol w:w="467"/>
                    <w:gridCol w:w="444"/>
                    <w:gridCol w:w="1177"/>
                  </w:tblGrid>
                  <w:tr>
                    <w:tc>
                      <w:tcPr>
                        <w:tcW w:type="dxa" w:w="72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项目</w:t>
                        </w:r>
                      </w:p>
                    </w:tc>
                    <w:tc>
                      <w:tcPr>
                        <w:tcW w:type="dxa" w:w="159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名称</w:t>
                        </w:r>
                      </w:p>
                    </w:tc>
                    <w:tc>
                      <w:tcPr>
                        <w:tcW w:type="dxa" w:w="46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单位</w:t>
                        </w:r>
                      </w:p>
                    </w:tc>
                    <w:tc>
                      <w:tcPr>
                        <w:tcW w:type="dxa" w:w="44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数量</w:t>
                        </w:r>
                      </w:p>
                    </w:tc>
                    <w:tc>
                      <w:tcPr>
                        <w:tcW w:type="dxa" w:w="117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备注</w:t>
                        </w:r>
                      </w:p>
                    </w:tc>
                  </w:tr>
                  <w:tr>
                    <w:tc>
                      <w:tcPr>
                        <w:tcW w:type="dxa" w:w="725"/>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清扫</w:t>
                        </w:r>
                        <w:r>
                          <w:rPr>
                            <w:sz w:val="24"/>
                          </w:rPr>
                          <w:t>保洁</w:t>
                        </w: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高压冲洗车水费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10方车，每天 6车水。水费按 4元/立方米计算，按实际结算</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高压冲洗车油费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8元/升，按每台每月实际 用量500 升计算，按实际结算</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压冲洗车维修费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高压冲洗车轮胎损耗</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条</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12</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前</w:t>
                        </w:r>
                        <w:r>
                          <w:rPr>
                            <w:sz w:val="24"/>
                          </w:rPr>
                          <w:t>2后4，1200元/个，正常使用 寿命按36个月计算</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洗扫车水费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水箱容积约</w:t>
                        </w:r>
                        <w:r>
                          <w:rPr>
                            <w:sz w:val="24"/>
                          </w:rPr>
                          <w:t>3立方米，每天4车水。水费按4元/立方米计算</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洗扫车油费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每天</w:t>
                        </w:r>
                        <w:r>
                          <w:rPr>
                            <w:sz w:val="24"/>
                          </w:rPr>
                          <w:t>3车水，按每台每月实际用量1000 升计算</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洗扫车维修费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洗扫车轮胎</w:t>
                        </w:r>
                        <w:r>
                          <w:rPr>
                            <w:sz w:val="24"/>
                          </w:rPr>
                          <w:t>损耗</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条</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前</w:t>
                        </w:r>
                        <w:r>
                          <w:rPr>
                            <w:sz w:val="24"/>
                          </w:rPr>
                          <w:t>2后4，1200元/个，正常使用 寿命按36 个月计算</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雾炮车水费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水</w:t>
                        </w:r>
                        <w:r>
                          <w:rPr>
                            <w:sz w:val="24"/>
                          </w:rPr>
                          <w:t>4元/立方米，每车10方，每天5车水</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雾炮车油费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8 元/升，按每台 每月实际用量150升计算</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雾炮车维修费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参照环卫车运营成本参考值计算</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雾炮车轮胎损耗</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条</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前</w:t>
                        </w:r>
                        <w:r>
                          <w:rPr>
                            <w:sz w:val="24"/>
                          </w:rPr>
                          <w:t>2后4，1200 元/个，正常使用寿命按36个月计算</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电动小三轮保洁车</w:t>
                        </w:r>
                        <w:r>
                          <w:rPr>
                            <w:sz w:val="24"/>
                          </w:rPr>
                          <w:t>-充电费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20</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小三轮车充电费包给工人，每月补贴</w:t>
                        </w:r>
                        <w:r>
                          <w:rPr>
                            <w:sz w:val="24"/>
                          </w:rPr>
                          <w:t>50 元</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电动小三轮保洁车</w:t>
                        </w:r>
                        <w:r>
                          <w:rPr>
                            <w:sz w:val="24"/>
                          </w:rPr>
                          <w:t>-维修费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20</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小三轮车维修费</w:t>
                        </w:r>
                      </w:p>
                    </w:tc>
                  </w:tr>
                  <w:tr>
                    <w:tc>
                      <w:tcPr>
                        <w:tcW w:type="dxa" w:w="725"/>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清扫</w:t>
                        </w:r>
                        <w:r>
                          <w:rPr>
                            <w:sz w:val="24"/>
                          </w:rPr>
                          <w:t>保洁</w:t>
                        </w: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电动三轮车</w:t>
                        </w:r>
                        <w:r>
                          <w:rPr>
                            <w:sz w:val="24"/>
                          </w:rPr>
                          <w:t>+牛皮癣机-充电费维修 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电动三轮清洗</w:t>
                        </w:r>
                        <w:r>
                          <w:rPr>
                            <w:sz w:val="24"/>
                          </w:rPr>
                          <w:t>机是非常规设</w:t>
                        </w:r>
                        <w:r>
                          <w:rPr>
                            <w:sz w:val="24"/>
                          </w:rPr>
                          <w:t>备，维修由公司寻找维修点，维修费，三轮车充</w:t>
                        </w:r>
                        <w:r>
                          <w:rPr>
                            <w:sz w:val="24"/>
                          </w:rPr>
                          <w:t>电费、维修费</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工具及劳保用品</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套</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25</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扫把、铁锹、撮</w:t>
                        </w:r>
                        <w:r>
                          <w:rPr>
                            <w:sz w:val="24"/>
                          </w:rPr>
                          <w:t>斗、夹子等</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工作服</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套</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25</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工衣、雨衣、雨鞋等</w:t>
                        </w:r>
                      </w:p>
                    </w:tc>
                  </w:tr>
                  <w:tr>
                    <w:tc>
                      <w:tcPr>
                        <w:tcW w:type="dxa" w:w="725"/>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公厕</w:t>
                        </w: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公厕水电费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座</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公厕用水电费用</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公厕除臭、消杀费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座</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除臭液、消杀药</w:t>
                        </w:r>
                        <w:r>
                          <w:rPr>
                            <w:sz w:val="24"/>
                          </w:rPr>
                          <w:t>剂等</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公厕化池抽粪清理费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座</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吸粪作业</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公厕维修、物料及工具</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座</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维修、清洁剂、劳保用品等</w:t>
                        </w:r>
                      </w:p>
                    </w:tc>
                  </w:tr>
                  <w:tr>
                    <w:tc>
                      <w:tcPr>
                        <w:tcW w:type="dxa" w:w="725"/>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垃圾</w:t>
                        </w:r>
                        <w:r>
                          <w:rPr>
                            <w:sz w:val="24"/>
                          </w:rPr>
                          <w:t>收集</w:t>
                        </w: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垃圾压缩车油费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每天</w:t>
                        </w:r>
                        <w:r>
                          <w:rPr>
                            <w:sz w:val="24"/>
                          </w:rPr>
                          <w:t>4车，8元/升，按每台每月 1000升计算</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垃圾压缩车维修费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垃圾压缩车轮胎损耗</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条</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前</w:t>
                        </w:r>
                        <w:r>
                          <w:rPr>
                            <w:sz w:val="24"/>
                          </w:rPr>
                          <w:t>2后4，1200元/个，正常使用 寿命按36 个月 计算</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侧挂桶三轮车油费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每天</w:t>
                        </w:r>
                        <w:r>
                          <w:rPr>
                            <w:sz w:val="24"/>
                          </w:rPr>
                          <w:t>6车，8元/升，按每台每月 100升计算</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侧挂桶三轮车维修费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包含保养、维修、补胎换胎等</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工具及劳保用品</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套</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铁锹、手套等</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工作服</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套</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工衣、雨衣、雨鞋等</w:t>
                        </w:r>
                      </w:p>
                    </w:tc>
                  </w:tr>
                  <w:tr>
                    <w:tc>
                      <w:tcPr>
                        <w:tcW w:type="dxa" w:w="725"/>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综合</w:t>
                        </w:r>
                        <w:r>
                          <w:rPr>
                            <w:sz w:val="24"/>
                          </w:rPr>
                          <w:t>管理</w:t>
                        </w: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车辆牌费、保险、年审等</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中大型环卫车，车险约</w:t>
                        </w:r>
                        <w:r>
                          <w:rPr>
                            <w:sz w:val="24"/>
                          </w:rPr>
                          <w:t>12000 元/年</w:t>
                        </w:r>
                      </w:p>
                    </w:tc>
                  </w:tr>
                  <w:tr>
                    <w:tc>
                      <w:tcPr>
                        <w:tcW w:type="dxa" w:w="725"/>
                        <w:vMerge/>
                        <w:tcBorders>
                          <w:top w:val="none" w:color="000000" w:sz="4"/>
                          <w:left w:val="single" w:color="000000" w:sz="4"/>
                          <w:bottom w:val="single" w:color="000000" w:sz="4"/>
                          <w:right w:val="single" w:color="000000" w:sz="4"/>
                        </w:tcBorders>
                      </w:tcPr>
                      <w:p/>
                    </w:tc>
                    <w:tc>
                      <w:tcPr>
                        <w:tcW w:type="dxa" w:w="159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洗车水费</w:t>
                        </w:r>
                      </w:p>
                    </w:tc>
                    <w:tc>
                      <w:tcPr>
                        <w:tcW w:type="dxa" w:w="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月</w:t>
                        </w:r>
                      </w:p>
                    </w:tc>
                    <w:tc>
                      <w:tcPr>
                        <w:tcW w:type="dxa" w:w="4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停车场内每日冲洗作业车辆，保证车容车貌</w:t>
                        </w:r>
                      </w:p>
                    </w:tc>
                  </w:tr>
                </w:tbl>
                <w:p>
                  <w:pPr>
                    <w:pStyle w:val="null3"/>
                    <w:jc w:val="both"/>
                  </w:pPr>
                  <w:r>
                    <w:rPr>
                      <w:sz w:val="24"/>
                    </w:rPr>
                    <w:t>（</w:t>
                  </w:r>
                  <w:r>
                    <w:rPr>
                      <w:sz w:val="24"/>
                    </w:rPr>
                    <w:t>4）其它管理支出</w:t>
                  </w:r>
                </w:p>
                <w:tbl>
                  <w:tblPr>
                    <w:tblInd w:type="dxa" w:w="120"/>
                    <w:tblBorders>
                      <w:top w:val="none" w:color="000000" w:sz="4"/>
                      <w:left w:val="none" w:color="000000" w:sz="4"/>
                      <w:bottom w:val="none" w:color="000000" w:sz="4"/>
                      <w:right w:val="none" w:color="000000" w:sz="4"/>
                      <w:insideH w:val="none"/>
                      <w:insideV w:val="none"/>
                    </w:tblBorders>
                  </w:tblPr>
                  <w:tblGrid>
                    <w:gridCol w:w="729"/>
                    <w:gridCol w:w="1615"/>
                    <w:gridCol w:w="455"/>
                    <w:gridCol w:w="455"/>
                    <w:gridCol w:w="1176"/>
                  </w:tblGrid>
                  <w:tr>
                    <w:tc>
                      <w:tcPr>
                        <w:tcW w:type="dxa" w:w="72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项目</w:t>
                        </w:r>
                      </w:p>
                    </w:tc>
                    <w:tc>
                      <w:tcPr>
                        <w:tcW w:type="dxa" w:w="161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名称</w:t>
                        </w:r>
                      </w:p>
                    </w:tc>
                    <w:tc>
                      <w:tcPr>
                        <w:tcW w:type="dxa" w:w="45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单位</w:t>
                        </w:r>
                      </w:p>
                    </w:tc>
                    <w:tc>
                      <w:tcPr>
                        <w:tcW w:type="dxa" w:w="45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数量</w:t>
                        </w:r>
                      </w:p>
                    </w:tc>
                    <w:tc>
                      <w:tcPr>
                        <w:tcW w:type="dxa" w:w="117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备注</w:t>
                        </w:r>
                      </w:p>
                    </w:tc>
                  </w:tr>
                  <w:tr>
                    <w:tc>
                      <w:tcPr>
                        <w:tcW w:type="dxa" w:w="729"/>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综合</w:t>
                        </w:r>
                        <w:r>
                          <w:rPr>
                            <w:sz w:val="24"/>
                          </w:rPr>
                          <w:t>管理</w:t>
                        </w:r>
                      </w:p>
                    </w:tc>
                    <w:tc>
                      <w:tcPr>
                        <w:tcW w:type="dxa" w:w="161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项目部停车</w:t>
                        </w:r>
                        <w:r>
                          <w:rPr>
                            <w:sz w:val="24"/>
                          </w:rPr>
                          <w:t>场仓库租赁费</w:t>
                        </w:r>
                      </w:p>
                    </w:tc>
                    <w:tc>
                      <w:tcPr>
                        <w:tcW w:type="dxa" w:w="45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月</w:t>
                        </w:r>
                      </w:p>
                    </w:tc>
                    <w:tc>
                      <w:tcPr>
                        <w:tcW w:type="dxa" w:w="45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办公需要</w:t>
                        </w:r>
                      </w:p>
                    </w:tc>
                  </w:tr>
                  <w:tr>
                    <w:tc>
                      <w:tcPr>
                        <w:tcW w:type="dxa" w:w="729"/>
                        <w:vMerge/>
                        <w:tcBorders>
                          <w:top w:val="none" w:color="000000" w:sz="4"/>
                          <w:left w:val="single" w:color="000000" w:sz="4"/>
                          <w:bottom w:val="single" w:color="000000" w:sz="4"/>
                          <w:right w:val="single" w:color="000000" w:sz="4"/>
                        </w:tcBorders>
                      </w:tcPr>
                      <w:p/>
                    </w:tc>
                    <w:tc>
                      <w:tcPr>
                        <w:tcW w:type="dxa" w:w="161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办公费用</w:t>
                        </w:r>
                      </w:p>
                    </w:tc>
                    <w:tc>
                      <w:tcPr>
                        <w:tcW w:type="dxa" w:w="45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月</w:t>
                        </w:r>
                      </w:p>
                    </w:tc>
                    <w:tc>
                      <w:tcPr>
                        <w:tcW w:type="dxa" w:w="45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办公电脑、打印</w:t>
                        </w:r>
                        <w:r>
                          <w:rPr>
                            <w:sz w:val="24"/>
                          </w:rPr>
                          <w:t>机、文具耗材、</w:t>
                        </w:r>
                        <w:r>
                          <w:rPr>
                            <w:sz w:val="24"/>
                          </w:rPr>
                          <w:t>网费、快递费等</w:t>
                        </w:r>
                      </w:p>
                    </w:tc>
                  </w:tr>
                  <w:tr>
                    <w:tc>
                      <w:tcPr>
                        <w:tcW w:type="dxa" w:w="729"/>
                        <w:vMerge/>
                        <w:tcBorders>
                          <w:top w:val="none" w:color="000000" w:sz="4"/>
                          <w:left w:val="single" w:color="000000" w:sz="4"/>
                          <w:bottom w:val="single" w:color="000000" w:sz="4"/>
                          <w:right w:val="single" w:color="000000" w:sz="4"/>
                        </w:tcBorders>
                      </w:tcPr>
                      <w:p/>
                    </w:tc>
                    <w:tc>
                      <w:tcPr>
                        <w:tcW w:type="dxa" w:w="161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办公区水电费</w:t>
                        </w:r>
                      </w:p>
                    </w:tc>
                    <w:tc>
                      <w:tcPr>
                        <w:tcW w:type="dxa" w:w="45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月</w:t>
                        </w:r>
                      </w:p>
                    </w:tc>
                    <w:tc>
                      <w:tcPr>
                        <w:tcW w:type="dxa" w:w="45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办公区、停车场</w:t>
                        </w:r>
                        <w:r>
                          <w:rPr>
                            <w:sz w:val="24"/>
                          </w:rPr>
                          <w:t>用水用电</w:t>
                        </w:r>
                      </w:p>
                    </w:tc>
                  </w:tr>
                  <w:tr>
                    <w:tc>
                      <w:tcPr>
                        <w:tcW w:type="dxa" w:w="729"/>
                        <w:vMerge/>
                        <w:tcBorders>
                          <w:top w:val="none" w:color="000000" w:sz="4"/>
                          <w:left w:val="single" w:color="000000" w:sz="4"/>
                          <w:bottom w:val="single" w:color="000000" w:sz="4"/>
                          <w:right w:val="single" w:color="000000" w:sz="4"/>
                        </w:tcBorders>
                      </w:tcPr>
                      <w:p/>
                    </w:tc>
                    <w:tc>
                      <w:tcPr>
                        <w:tcW w:type="dxa" w:w="161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不可预见费用</w:t>
                        </w:r>
                      </w:p>
                    </w:tc>
                    <w:tc>
                      <w:tcPr>
                        <w:tcW w:type="dxa" w:w="45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笔</w:t>
                        </w:r>
                      </w:p>
                    </w:tc>
                    <w:tc>
                      <w:tcPr>
                        <w:tcW w:type="dxa" w:w="45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不可预见费用</w:t>
                        </w:r>
                      </w:p>
                    </w:tc>
                  </w:tr>
                </w:tbl>
                <w:p>
                  <w:pPr>
                    <w:pStyle w:val="null3"/>
                    <w:jc w:val="center"/>
                  </w:pPr>
                  <w:r>
                    <w:rPr>
                      <w:sz w:val="24"/>
                      <w:b/>
                    </w:rPr>
                    <w:t>生态工业园绿化养护</w:t>
                  </w:r>
                </w:p>
                <w:p>
                  <w:pPr>
                    <w:pStyle w:val="null3"/>
                    <w:ind w:firstLine="480"/>
                    <w:jc w:val="both"/>
                  </w:pPr>
                  <w:r>
                    <w:rPr>
                      <w:sz w:val="24"/>
                    </w:rPr>
                    <w:t>（</w:t>
                  </w:r>
                  <w:r>
                    <w:rPr>
                      <w:sz w:val="24"/>
                    </w:rPr>
                    <w:t>1）人员薪酬福利</w:t>
                  </w:r>
                </w:p>
                <w:tbl>
                  <w:tblPr>
                    <w:tblInd w:type="dxa" w:w="120"/>
                    <w:tblBorders>
                      <w:top w:val="none" w:color="000000" w:sz="4"/>
                      <w:left w:val="none" w:color="000000" w:sz="4"/>
                      <w:bottom w:val="none" w:color="000000" w:sz="4"/>
                      <w:right w:val="none" w:color="000000" w:sz="4"/>
                      <w:insideH w:val="none"/>
                      <w:insideV w:val="none"/>
                    </w:tblBorders>
                  </w:tblPr>
                  <w:tblGrid>
                    <w:gridCol w:w="822"/>
                    <w:gridCol w:w="1518"/>
                    <w:gridCol w:w="462"/>
                    <w:gridCol w:w="470"/>
                    <w:gridCol w:w="1158"/>
                  </w:tblGrid>
                  <w:tr>
                    <w:tc>
                      <w:tcPr>
                        <w:tcW w:type="dxa" w:w="822"/>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项目</w:t>
                        </w:r>
                      </w:p>
                    </w:tc>
                    <w:tc>
                      <w:tcPr>
                        <w:tcW w:type="dxa" w:w="151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名称</w:t>
                        </w:r>
                      </w:p>
                    </w:tc>
                    <w:tc>
                      <w:tcPr>
                        <w:tcW w:type="dxa" w:w="462"/>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单位</w:t>
                        </w:r>
                      </w:p>
                    </w:tc>
                    <w:tc>
                      <w:tcPr>
                        <w:tcW w:type="dxa" w:w="47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数量</w:t>
                        </w:r>
                      </w:p>
                    </w:tc>
                    <w:tc>
                      <w:tcPr>
                        <w:tcW w:type="dxa" w:w="115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备注</w:t>
                        </w:r>
                      </w:p>
                    </w:tc>
                  </w:tr>
                  <w:tr>
                    <w:tc>
                      <w:tcPr>
                        <w:tcW w:type="dxa" w:w="822"/>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480"/>
                          <w:jc w:val="center"/>
                        </w:pPr>
                        <w:r>
                          <w:rPr>
                            <w:sz w:val="24"/>
                          </w:rPr>
                          <w:t>工人与管理人员</w:t>
                        </w:r>
                      </w:p>
                    </w:tc>
                    <w:tc>
                      <w:tcPr>
                        <w:tcW w:type="dxa" w:w="151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绿化项目经</w:t>
                        </w:r>
                        <w:r>
                          <w:rPr>
                            <w:sz w:val="24"/>
                          </w:rPr>
                          <w:t>理</w:t>
                        </w:r>
                      </w:p>
                    </w:tc>
                    <w:tc>
                      <w:tcPr>
                        <w:tcW w:type="dxa" w:w="46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7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绿化项目配置</w:t>
                        </w:r>
                        <w:r>
                          <w:rPr>
                            <w:sz w:val="24"/>
                          </w:rPr>
                          <w:t>1名负责人</w:t>
                        </w:r>
                      </w:p>
                    </w:tc>
                  </w:tr>
                  <w:tr>
                    <w:tc>
                      <w:tcPr>
                        <w:tcW w:type="dxa" w:w="822"/>
                        <w:vMerge/>
                        <w:tcBorders>
                          <w:top w:val="none" w:color="000000" w:sz="4"/>
                          <w:left w:val="single" w:color="000000" w:sz="4"/>
                          <w:bottom w:val="single" w:color="000000" w:sz="4"/>
                          <w:right w:val="single" w:color="000000" w:sz="4"/>
                        </w:tcBorders>
                      </w:tcPr>
                      <w:p/>
                    </w:tc>
                    <w:tc>
                      <w:tcPr>
                        <w:tcW w:type="dxa" w:w="151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绿化技术主管</w:t>
                        </w:r>
                      </w:p>
                    </w:tc>
                    <w:tc>
                      <w:tcPr>
                        <w:tcW w:type="dxa" w:w="46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7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配置</w:t>
                        </w:r>
                        <w:r>
                          <w:rPr>
                            <w:sz w:val="24"/>
                          </w:rPr>
                          <w:t>1名技术主管</w:t>
                        </w:r>
                      </w:p>
                    </w:tc>
                  </w:tr>
                  <w:tr>
                    <w:tc>
                      <w:tcPr>
                        <w:tcW w:type="dxa" w:w="822"/>
                        <w:vMerge/>
                        <w:tcBorders>
                          <w:top w:val="none" w:color="000000" w:sz="4"/>
                          <w:left w:val="single" w:color="000000" w:sz="4"/>
                          <w:bottom w:val="single" w:color="000000" w:sz="4"/>
                          <w:right w:val="single" w:color="000000" w:sz="4"/>
                        </w:tcBorders>
                      </w:tcPr>
                      <w:p/>
                    </w:tc>
                    <w:tc>
                      <w:tcPr>
                        <w:tcW w:type="dxa" w:w="151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绿化保洁员</w:t>
                        </w:r>
                      </w:p>
                    </w:tc>
                    <w:tc>
                      <w:tcPr>
                        <w:tcW w:type="dxa" w:w="46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7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w:t>
                        </w:r>
                      </w:p>
                    </w:tc>
                    <w:tc>
                      <w:tcPr>
                        <w:tcW w:type="dxa" w:w="11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绿化保洁员配置标准</w:t>
                        </w:r>
                        <w:r>
                          <w:rPr>
                            <w:sz w:val="24"/>
                          </w:rPr>
                          <w:t>:一级养护按10000平方米/人配置</w:t>
                        </w:r>
                      </w:p>
                    </w:tc>
                  </w:tr>
                  <w:tr>
                    <w:tc>
                      <w:tcPr>
                        <w:tcW w:type="dxa" w:w="822"/>
                        <w:vMerge/>
                        <w:tcBorders>
                          <w:top w:val="none" w:color="000000" w:sz="4"/>
                          <w:left w:val="single" w:color="000000" w:sz="4"/>
                          <w:bottom w:val="single" w:color="000000" w:sz="4"/>
                          <w:right w:val="single" w:color="000000" w:sz="4"/>
                        </w:tcBorders>
                      </w:tcPr>
                      <w:p/>
                    </w:tc>
                    <w:tc>
                      <w:tcPr>
                        <w:tcW w:type="dxa" w:w="151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修剪工</w:t>
                        </w:r>
                      </w:p>
                    </w:tc>
                    <w:tc>
                      <w:tcPr>
                        <w:tcW w:type="dxa" w:w="46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7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c>
                      <w:tcPr>
                        <w:tcW w:type="dxa" w:w="11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修剪工与辅助工搭配成小组开展工作，</w:t>
                        </w:r>
                        <w:r>
                          <w:rPr>
                            <w:sz w:val="24"/>
                          </w:rPr>
                          <w:t>3人成组，配比为2:1 。辅助工由绿化保洁员兼任</w:t>
                        </w:r>
                      </w:p>
                    </w:tc>
                  </w:tr>
                  <w:tr>
                    <w:tc>
                      <w:tcPr>
                        <w:tcW w:type="dxa" w:w="822"/>
                        <w:vMerge/>
                        <w:tcBorders>
                          <w:top w:val="none" w:color="000000" w:sz="4"/>
                          <w:left w:val="single" w:color="000000" w:sz="4"/>
                          <w:bottom w:val="single" w:color="000000" w:sz="4"/>
                          <w:right w:val="single" w:color="000000" w:sz="4"/>
                        </w:tcBorders>
                      </w:tcPr>
                      <w:p/>
                    </w:tc>
                    <w:tc>
                      <w:tcPr>
                        <w:tcW w:type="dxa" w:w="151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驾驶员</w:t>
                        </w:r>
                        <w:r>
                          <w:rPr>
                            <w:sz w:val="24"/>
                          </w:rPr>
                          <w:t>-平板 车</w:t>
                        </w:r>
                      </w:p>
                    </w:tc>
                    <w:tc>
                      <w:tcPr>
                        <w:tcW w:type="dxa" w:w="46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7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每台车</w:t>
                        </w:r>
                        <w:r>
                          <w:rPr>
                            <w:sz w:val="24"/>
                          </w:rPr>
                          <w:t>1名驾驶员</w:t>
                        </w:r>
                      </w:p>
                    </w:tc>
                  </w:tr>
                  <w:tr>
                    <w:tc>
                      <w:tcPr>
                        <w:tcW w:type="dxa" w:w="822"/>
                        <w:vMerge/>
                        <w:tcBorders>
                          <w:top w:val="none" w:color="000000" w:sz="4"/>
                          <w:left w:val="single" w:color="000000" w:sz="4"/>
                          <w:bottom w:val="single" w:color="000000" w:sz="4"/>
                          <w:right w:val="single" w:color="000000" w:sz="4"/>
                        </w:tcBorders>
                      </w:tcPr>
                      <w:p/>
                    </w:tc>
                    <w:tc>
                      <w:tcPr>
                        <w:tcW w:type="dxa" w:w="151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驾驶员</w:t>
                        </w:r>
                        <w:r>
                          <w:rPr>
                            <w:sz w:val="24"/>
                          </w:rPr>
                          <w:t>-绿化 浇灌车</w:t>
                        </w:r>
                      </w:p>
                    </w:tc>
                    <w:tc>
                      <w:tcPr>
                        <w:tcW w:type="dxa" w:w="46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7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1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每台车</w:t>
                        </w:r>
                        <w:r>
                          <w:rPr>
                            <w:sz w:val="24"/>
                          </w:rPr>
                          <w:t>1名驾驶员</w:t>
                        </w:r>
                      </w:p>
                    </w:tc>
                  </w:tr>
                  <w:tr>
                    <w:tc>
                      <w:tcPr>
                        <w:tcW w:type="dxa" w:w="82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社保及福利</w:t>
                        </w:r>
                      </w:p>
                    </w:tc>
                    <w:tc>
                      <w:tcPr>
                        <w:tcW w:type="dxa" w:w="151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社会保险</w:t>
                        </w:r>
                      </w:p>
                    </w:tc>
                    <w:tc>
                      <w:tcPr>
                        <w:tcW w:type="dxa" w:w="46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w:t>
                        </w:r>
                      </w:p>
                    </w:tc>
                    <w:tc>
                      <w:tcPr>
                        <w:tcW w:type="dxa" w:w="47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12</w:t>
                        </w:r>
                      </w:p>
                    </w:tc>
                    <w:tc>
                      <w:tcPr>
                        <w:tcW w:type="dxa" w:w="115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bl>
                <w:p>
                  <w:pPr>
                    <w:pStyle w:val="null3"/>
                    <w:jc w:val="both"/>
                  </w:pPr>
                  <w:r>
                    <w:rPr>
                      <w:sz w:val="24"/>
                    </w:rPr>
                    <w:t>（</w:t>
                  </w:r>
                  <w:r>
                    <w:rPr>
                      <w:sz w:val="24"/>
                    </w:rPr>
                    <w:t>2）车辆设备折旧</w:t>
                  </w:r>
                </w:p>
                <w:tbl>
                  <w:tblPr>
                    <w:tblInd w:type="dxa" w:w="120"/>
                    <w:tblBorders>
                      <w:top w:val="none" w:color="000000" w:sz="4"/>
                      <w:left w:val="none" w:color="000000" w:sz="4"/>
                      <w:bottom w:val="none" w:color="000000" w:sz="4"/>
                      <w:right w:val="none" w:color="000000" w:sz="4"/>
                      <w:insideH w:val="none"/>
                      <w:insideV w:val="none"/>
                    </w:tblBorders>
                  </w:tblPr>
                  <w:tblGrid>
                    <w:gridCol w:w="823"/>
                    <w:gridCol w:w="1513"/>
                    <w:gridCol w:w="439"/>
                    <w:gridCol w:w="431"/>
                    <w:gridCol w:w="1223"/>
                  </w:tblGrid>
                  <w:tr>
                    <w:tc>
                      <w:tcPr>
                        <w:tcW w:type="dxa" w:w="82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项目</w:t>
                        </w:r>
                      </w:p>
                    </w:tc>
                    <w:tc>
                      <w:tcPr>
                        <w:tcW w:type="dxa" w:w="151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名称</w:t>
                        </w:r>
                      </w:p>
                    </w:tc>
                    <w:tc>
                      <w:tcPr>
                        <w:tcW w:type="dxa" w:w="43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单位</w:t>
                        </w:r>
                      </w:p>
                    </w:tc>
                    <w:tc>
                      <w:tcPr>
                        <w:tcW w:type="dxa" w:w="43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数量</w:t>
                        </w:r>
                      </w:p>
                    </w:tc>
                    <w:tc>
                      <w:tcPr>
                        <w:tcW w:type="dxa" w:w="122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备注</w:t>
                        </w:r>
                      </w:p>
                    </w:tc>
                  </w:tr>
                  <w:tr>
                    <w:tc>
                      <w:tcPr>
                        <w:tcW w:type="dxa" w:w="823"/>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固定</w:t>
                        </w:r>
                        <w:r>
                          <w:rPr>
                            <w:sz w:val="24"/>
                          </w:rPr>
                          <w:t>资产</w:t>
                        </w:r>
                      </w:p>
                    </w:tc>
                    <w:tc>
                      <w:tcPr>
                        <w:tcW w:type="dxa" w:w="15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平板车</w:t>
                        </w:r>
                      </w:p>
                    </w:tc>
                    <w:tc>
                      <w:tcPr>
                        <w:tcW w:type="dxa" w:w="43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按</w:t>
                        </w:r>
                        <w:r>
                          <w:rPr>
                            <w:sz w:val="24"/>
                          </w:rPr>
                          <w:t>15年折旧</w:t>
                        </w:r>
                      </w:p>
                    </w:tc>
                  </w:tr>
                  <w:tr>
                    <w:tc>
                      <w:tcPr>
                        <w:tcW w:type="dxa" w:w="823"/>
                        <w:vMerge/>
                        <w:tcBorders>
                          <w:top w:val="none" w:color="000000" w:sz="4"/>
                          <w:left w:val="single" w:color="000000" w:sz="4"/>
                          <w:bottom w:val="single" w:color="000000" w:sz="4"/>
                          <w:right w:val="single" w:color="000000" w:sz="4"/>
                        </w:tcBorders>
                      </w:tcPr>
                      <w:p/>
                    </w:tc>
                    <w:tc>
                      <w:tcPr>
                        <w:tcW w:type="dxa" w:w="15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绿化浇灌车</w:t>
                        </w:r>
                      </w:p>
                    </w:tc>
                    <w:tc>
                      <w:tcPr>
                        <w:tcW w:type="dxa" w:w="43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按</w:t>
                        </w:r>
                        <w:r>
                          <w:rPr>
                            <w:sz w:val="24"/>
                          </w:rPr>
                          <w:t>15年折旧</w:t>
                        </w:r>
                      </w:p>
                    </w:tc>
                  </w:tr>
                  <w:tr>
                    <w:tc>
                      <w:tcPr>
                        <w:tcW w:type="dxa" w:w="823"/>
                        <w:vMerge/>
                        <w:tcBorders>
                          <w:top w:val="none" w:color="000000" w:sz="4"/>
                          <w:left w:val="single" w:color="000000" w:sz="4"/>
                          <w:bottom w:val="single" w:color="000000" w:sz="4"/>
                          <w:right w:val="single" w:color="000000" w:sz="4"/>
                        </w:tcBorders>
                      </w:tcPr>
                      <w:p/>
                    </w:tc>
                    <w:tc>
                      <w:tcPr>
                        <w:tcW w:type="dxa" w:w="15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绿篱机</w:t>
                        </w:r>
                      </w:p>
                    </w:tc>
                    <w:tc>
                      <w:tcPr>
                        <w:tcW w:type="dxa" w:w="43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台</w:t>
                        </w:r>
                      </w:p>
                    </w:tc>
                    <w:tc>
                      <w:tcPr>
                        <w:tcW w:type="dxa" w:w="4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c>
                      <w:tcPr>
                        <w:tcW w:type="dxa" w:w="12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每个修剪工配置</w:t>
                        </w:r>
                        <w:r>
                          <w:rPr>
                            <w:sz w:val="24"/>
                          </w:rPr>
                          <w:t>1台按5年折旧</w:t>
                        </w:r>
                      </w:p>
                    </w:tc>
                  </w:tr>
                  <w:tr>
                    <w:tc>
                      <w:tcPr>
                        <w:tcW w:type="dxa" w:w="823"/>
                        <w:vMerge/>
                        <w:tcBorders>
                          <w:top w:val="none" w:color="000000" w:sz="4"/>
                          <w:left w:val="single" w:color="000000" w:sz="4"/>
                          <w:bottom w:val="single" w:color="000000" w:sz="4"/>
                          <w:right w:val="single" w:color="000000" w:sz="4"/>
                        </w:tcBorders>
                      </w:tcPr>
                      <w:p/>
                    </w:tc>
                    <w:tc>
                      <w:tcPr>
                        <w:tcW w:type="dxa" w:w="15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剪草机</w:t>
                        </w:r>
                      </w:p>
                    </w:tc>
                    <w:tc>
                      <w:tcPr>
                        <w:tcW w:type="dxa" w:w="43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台</w:t>
                        </w:r>
                      </w:p>
                    </w:tc>
                    <w:tc>
                      <w:tcPr>
                        <w:tcW w:type="dxa" w:w="4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每个修剪组配置</w:t>
                        </w:r>
                        <w:r>
                          <w:rPr>
                            <w:sz w:val="24"/>
                          </w:rPr>
                          <w:t>1台按5年折旧</w:t>
                        </w:r>
                      </w:p>
                    </w:tc>
                  </w:tr>
                  <w:tr>
                    <w:tc>
                      <w:tcPr>
                        <w:tcW w:type="dxa" w:w="823"/>
                        <w:vMerge/>
                        <w:tcBorders>
                          <w:top w:val="none" w:color="000000" w:sz="4"/>
                          <w:left w:val="single" w:color="000000" w:sz="4"/>
                          <w:bottom w:val="single" w:color="000000" w:sz="4"/>
                          <w:right w:val="single" w:color="000000" w:sz="4"/>
                        </w:tcBorders>
                      </w:tcPr>
                      <w:p/>
                    </w:tc>
                    <w:tc>
                      <w:tcPr>
                        <w:tcW w:type="dxa" w:w="15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高枝油锯</w:t>
                        </w:r>
                      </w:p>
                    </w:tc>
                    <w:tc>
                      <w:tcPr>
                        <w:tcW w:type="dxa" w:w="43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台</w:t>
                        </w:r>
                      </w:p>
                    </w:tc>
                    <w:tc>
                      <w:tcPr>
                        <w:tcW w:type="dxa" w:w="4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每个修剪组配置</w:t>
                        </w:r>
                        <w:r>
                          <w:rPr>
                            <w:sz w:val="24"/>
                          </w:rPr>
                          <w:t>1台按5年折旧</w:t>
                        </w:r>
                      </w:p>
                    </w:tc>
                  </w:tr>
                  <w:tr>
                    <w:tc>
                      <w:tcPr>
                        <w:tcW w:type="dxa" w:w="823"/>
                        <w:vMerge/>
                        <w:tcBorders>
                          <w:top w:val="none" w:color="000000" w:sz="4"/>
                          <w:left w:val="single" w:color="000000" w:sz="4"/>
                          <w:bottom w:val="single" w:color="000000" w:sz="4"/>
                          <w:right w:val="single" w:color="000000" w:sz="4"/>
                        </w:tcBorders>
                      </w:tcPr>
                      <w:p/>
                    </w:tc>
                    <w:tc>
                      <w:tcPr>
                        <w:tcW w:type="dxa" w:w="15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打药机</w:t>
                        </w:r>
                      </w:p>
                    </w:tc>
                    <w:tc>
                      <w:tcPr>
                        <w:tcW w:type="dxa" w:w="43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台</w:t>
                        </w:r>
                      </w:p>
                    </w:tc>
                    <w:tc>
                      <w:tcPr>
                        <w:tcW w:type="dxa" w:w="4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每个修剪组配置</w:t>
                        </w:r>
                        <w:r>
                          <w:rPr>
                            <w:sz w:val="24"/>
                          </w:rPr>
                          <w:t>1台按5年折旧</w:t>
                        </w:r>
                      </w:p>
                    </w:tc>
                  </w:tr>
                  <w:tr>
                    <w:tc>
                      <w:tcPr>
                        <w:tcW w:type="dxa" w:w="823"/>
                        <w:vMerge/>
                        <w:tcBorders>
                          <w:top w:val="none" w:color="000000" w:sz="4"/>
                          <w:left w:val="single" w:color="000000" w:sz="4"/>
                          <w:bottom w:val="single" w:color="000000" w:sz="4"/>
                          <w:right w:val="single" w:color="000000" w:sz="4"/>
                        </w:tcBorders>
                      </w:tcPr>
                      <w:p/>
                    </w:tc>
                    <w:tc>
                      <w:tcPr>
                        <w:tcW w:type="dxa" w:w="15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打边机</w:t>
                        </w:r>
                      </w:p>
                    </w:tc>
                    <w:tc>
                      <w:tcPr>
                        <w:tcW w:type="dxa" w:w="43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台</w:t>
                        </w:r>
                      </w:p>
                    </w:tc>
                    <w:tc>
                      <w:tcPr>
                        <w:tcW w:type="dxa" w:w="4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每个修剪组配置</w:t>
                        </w:r>
                        <w:r>
                          <w:rPr>
                            <w:sz w:val="24"/>
                          </w:rPr>
                          <w:t>1台按5年折旧</w:t>
                        </w:r>
                      </w:p>
                    </w:tc>
                  </w:tr>
                  <w:tr>
                    <w:tc>
                      <w:tcPr>
                        <w:tcW w:type="dxa" w:w="823"/>
                        <w:vMerge/>
                        <w:tcBorders>
                          <w:top w:val="none" w:color="000000" w:sz="4"/>
                          <w:left w:val="single" w:color="000000" w:sz="4"/>
                          <w:bottom w:val="single" w:color="000000" w:sz="4"/>
                          <w:right w:val="single" w:color="000000" w:sz="4"/>
                        </w:tcBorders>
                      </w:tcPr>
                      <w:p/>
                    </w:tc>
                    <w:tc>
                      <w:tcPr>
                        <w:tcW w:type="dxa" w:w="15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吹风机</w:t>
                        </w:r>
                      </w:p>
                    </w:tc>
                    <w:tc>
                      <w:tcPr>
                        <w:tcW w:type="dxa" w:w="43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台</w:t>
                        </w:r>
                      </w:p>
                    </w:tc>
                    <w:tc>
                      <w:tcPr>
                        <w:tcW w:type="dxa" w:w="4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每个修剪组配置</w:t>
                        </w:r>
                        <w:r>
                          <w:rPr>
                            <w:sz w:val="24"/>
                          </w:rPr>
                          <w:t>1台按5年折旧</w:t>
                        </w:r>
                      </w:p>
                    </w:tc>
                  </w:tr>
                  <w:tr>
                    <w:tc>
                      <w:tcPr>
                        <w:tcW w:type="dxa" w:w="823"/>
                        <w:vMerge/>
                        <w:tcBorders>
                          <w:top w:val="none" w:color="000000" w:sz="4"/>
                          <w:left w:val="single" w:color="000000" w:sz="4"/>
                          <w:bottom w:val="single" w:color="000000" w:sz="4"/>
                          <w:right w:val="single" w:color="000000" w:sz="4"/>
                        </w:tcBorders>
                      </w:tcPr>
                      <w:p/>
                    </w:tc>
                    <w:tc>
                      <w:tcPr>
                        <w:tcW w:type="dxa" w:w="15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高枝剪</w:t>
                        </w:r>
                      </w:p>
                    </w:tc>
                    <w:tc>
                      <w:tcPr>
                        <w:tcW w:type="dxa" w:w="43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把</w:t>
                        </w:r>
                      </w:p>
                    </w:tc>
                    <w:tc>
                      <w:tcPr>
                        <w:tcW w:type="dxa" w:w="4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每个修剪组配置</w:t>
                        </w:r>
                        <w:r>
                          <w:rPr>
                            <w:sz w:val="24"/>
                          </w:rPr>
                          <w:t>1台按5年折旧</w:t>
                        </w:r>
                      </w:p>
                    </w:tc>
                  </w:tr>
                </w:tbl>
                <w:p>
                  <w:pPr>
                    <w:pStyle w:val="null3"/>
                    <w:ind w:firstLine="480"/>
                    <w:jc w:val="both"/>
                  </w:pPr>
                  <w:r>
                    <w:rPr>
                      <w:sz w:val="24"/>
                    </w:rPr>
                    <w:t>（</w:t>
                  </w:r>
                  <w:r>
                    <w:rPr>
                      <w:sz w:val="24"/>
                    </w:rPr>
                    <w:t>3）运营费用</w:t>
                  </w:r>
                </w:p>
                <w:tbl>
                  <w:tblPr>
                    <w:tblInd w:type="dxa" w:w="120"/>
                    <w:tblBorders>
                      <w:top w:val="none" w:color="000000" w:sz="4"/>
                      <w:left w:val="none" w:color="000000" w:sz="4"/>
                      <w:bottom w:val="none" w:color="000000" w:sz="4"/>
                      <w:right w:val="none" w:color="000000" w:sz="4"/>
                      <w:insideH w:val="none"/>
                      <w:insideV w:val="none"/>
                    </w:tblBorders>
                  </w:tblPr>
                  <w:tblGrid>
                    <w:gridCol w:w="830"/>
                    <w:gridCol w:w="1503"/>
                    <w:gridCol w:w="446"/>
                    <w:gridCol w:w="438"/>
                    <w:gridCol w:w="1213"/>
                  </w:tblGrid>
                  <w:tr>
                    <w:tc>
                      <w:tcPr>
                        <w:tcW w:type="dxa" w:w="83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项目</w:t>
                        </w:r>
                      </w:p>
                    </w:tc>
                    <w:tc>
                      <w:tcPr>
                        <w:tcW w:type="dxa" w:w="150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名称</w:t>
                        </w:r>
                      </w:p>
                    </w:tc>
                    <w:tc>
                      <w:tcPr>
                        <w:tcW w:type="dxa" w:w="44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单位</w:t>
                        </w:r>
                      </w:p>
                    </w:tc>
                    <w:tc>
                      <w:tcPr>
                        <w:tcW w:type="dxa" w:w="43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数量</w:t>
                        </w:r>
                      </w:p>
                    </w:tc>
                    <w:tc>
                      <w:tcPr>
                        <w:tcW w:type="dxa" w:w="121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备注</w:t>
                        </w:r>
                      </w:p>
                    </w:tc>
                  </w:tr>
                  <w:tr>
                    <w:tc>
                      <w:tcPr>
                        <w:tcW w:type="dxa" w:w="830"/>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运营</w:t>
                        </w: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平板车油费</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8元/升，按每台每月实际用量300升计算</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平板车维修费</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补胎、保养等约</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平板车胎损耗</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条</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4条轮胎，800元/条，轮胎寿命按36个月计算</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绿化浇灌车水费</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10方车，每天5车水。水费按4元/立方米计算</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绿化浇灌车油费</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8元/升，按每台每月实际用量500升计算</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绿化浇灌车维修费</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绿化浇灌车轮胎损耗</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条</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前</w:t>
                        </w:r>
                        <w:r>
                          <w:rPr>
                            <w:sz w:val="24"/>
                          </w:rPr>
                          <w:t>2后4，1200元/个，正常使用 寿命按36个月计算</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高空作业车租赁费</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月</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按乔木生长修剪周期租赁，每年约</w:t>
                        </w:r>
                        <w:r>
                          <w:rPr>
                            <w:sz w:val="24"/>
                          </w:rPr>
                          <w:t>1万元:含驾驶员人工费</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园艺工具使用燃油费</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月</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各种以燃油为动力的园艺</w:t>
                        </w:r>
                        <w:r>
                          <w:rPr>
                            <w:sz w:val="24"/>
                          </w:rPr>
                          <w:t>工具</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园艺工具维修费</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批</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绿篱机、剪草机等</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农药与肥料费用</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月</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以植物病害情况与植物生长周期施治，按</w:t>
                        </w:r>
                        <w:r>
                          <w:rPr>
                            <w:sz w:val="24"/>
                          </w:rPr>
                          <w:t>0.3/平方米/年计算</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防护材料费用</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植物防护材料</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垃圾袋</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月</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每人每月用</w:t>
                        </w:r>
                        <w:r>
                          <w:rPr>
                            <w:sz w:val="24"/>
                          </w:rPr>
                          <w:t>120只垃圾袋，按时结算</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工具及劳保用品</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套</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竹耙、手套等</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工作服</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套</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工衣、雨衣、雨</w:t>
                        </w:r>
                        <w:r>
                          <w:rPr>
                            <w:sz w:val="24"/>
                          </w:rPr>
                          <w:t>鞋等</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车辆牌费、保险、年审等</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辆</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年审、车等险约</w:t>
                        </w:r>
                        <w:r>
                          <w:rPr>
                            <w:sz w:val="24"/>
                          </w:rPr>
                          <w:t>12000元/年</w:t>
                        </w:r>
                      </w:p>
                    </w:tc>
                  </w:tr>
                  <w:tr>
                    <w:tc>
                      <w:tcPr>
                        <w:tcW w:type="dxa" w:w="830"/>
                        <w:vMerge/>
                        <w:tcBorders>
                          <w:top w:val="none" w:color="000000" w:sz="4"/>
                          <w:left w:val="single" w:color="000000" w:sz="4"/>
                          <w:bottom w:val="single" w:color="000000" w:sz="4"/>
                          <w:right w:val="single" w:color="000000" w:sz="4"/>
                        </w:tcBorders>
                      </w:tcPr>
                      <w:p/>
                    </w:tc>
                    <w:tc>
                      <w:tcPr>
                        <w:tcW w:type="dxa" w:w="15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洗车水费</w:t>
                        </w:r>
                      </w:p>
                    </w:tc>
                    <w:tc>
                      <w:tcPr>
                        <w:tcW w:type="dxa" w:w="4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月</w:t>
                        </w:r>
                      </w:p>
                    </w:tc>
                    <w:tc>
                      <w:tcPr>
                        <w:tcW w:type="dxa" w:w="4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项目部停车场内每日冲洗作业车辆，保证车容车貌</w:t>
                        </w:r>
                      </w:p>
                    </w:tc>
                  </w:tr>
                </w:tbl>
                <w:p>
                  <w:pPr>
                    <w:pStyle w:val="null3"/>
                    <w:jc w:val="both"/>
                  </w:pPr>
                  <w:r>
                    <w:rPr>
                      <w:sz w:val="24"/>
                    </w:rPr>
                    <w:t>（</w:t>
                  </w:r>
                  <w:r>
                    <w:rPr>
                      <w:sz w:val="24"/>
                    </w:rPr>
                    <w:t>4）其它管理支出</w:t>
                  </w:r>
                </w:p>
                <w:tbl>
                  <w:tblPr>
                    <w:tblInd w:type="dxa" w:w="120"/>
                    <w:tblBorders>
                      <w:top w:val="none" w:color="000000" w:sz="4"/>
                      <w:left w:val="none" w:color="000000" w:sz="4"/>
                      <w:bottom w:val="none" w:color="000000" w:sz="4"/>
                      <w:right w:val="none" w:color="000000" w:sz="4"/>
                      <w:insideH w:val="none"/>
                      <w:insideV w:val="none"/>
                    </w:tblBorders>
                  </w:tblPr>
                  <w:tblGrid>
                    <w:gridCol w:w="828"/>
                    <w:gridCol w:w="1500"/>
                    <w:gridCol w:w="453"/>
                    <w:gridCol w:w="445"/>
                    <w:gridCol w:w="1203"/>
                  </w:tblGrid>
                  <w:tr>
                    <w:tc>
                      <w:tcPr>
                        <w:tcW w:type="dxa" w:w="82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项目</w:t>
                        </w:r>
                      </w:p>
                    </w:tc>
                    <w:tc>
                      <w:tcPr>
                        <w:tcW w:type="dxa" w:w="150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名称</w:t>
                        </w:r>
                      </w:p>
                    </w:tc>
                    <w:tc>
                      <w:tcPr>
                        <w:tcW w:type="dxa" w:w="45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单位</w:t>
                        </w:r>
                      </w:p>
                    </w:tc>
                    <w:tc>
                      <w:tcPr>
                        <w:tcW w:type="dxa" w:w="44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数量</w:t>
                        </w:r>
                      </w:p>
                    </w:tc>
                    <w:tc>
                      <w:tcPr>
                        <w:tcW w:type="dxa" w:w="120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备注</w:t>
                        </w:r>
                      </w:p>
                    </w:tc>
                  </w:tr>
                  <w:tr>
                    <w:tc>
                      <w:tcPr>
                        <w:tcW w:type="dxa" w:w="8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综合管理</w:t>
                        </w:r>
                      </w:p>
                    </w:tc>
                    <w:tc>
                      <w:tcPr>
                        <w:tcW w:type="dxa" w:w="150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办公室租赁费</w:t>
                        </w:r>
                      </w:p>
                    </w:tc>
                    <w:tc>
                      <w:tcPr>
                        <w:tcW w:type="dxa" w:w="45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月</w:t>
                        </w:r>
                      </w:p>
                    </w:tc>
                    <w:tc>
                      <w:tcPr>
                        <w:tcW w:type="dxa" w:w="44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办公场所租赁</w:t>
                        </w:r>
                      </w:p>
                    </w:tc>
                  </w:tr>
                  <w:tr>
                    <w:tc>
                      <w:tcPr>
                        <w:tcW w:type="dxa" w:w="828"/>
                        <w:vMerge/>
                        <w:tcBorders>
                          <w:top w:val="none" w:color="000000" w:sz="4"/>
                          <w:left w:val="single" w:color="000000" w:sz="4"/>
                          <w:bottom w:val="single" w:color="000000" w:sz="4"/>
                          <w:right w:val="single" w:color="000000" w:sz="4"/>
                        </w:tcBorders>
                      </w:tcPr>
                      <w:p/>
                    </w:tc>
                    <w:tc>
                      <w:tcPr>
                        <w:tcW w:type="dxa" w:w="150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办公费用</w:t>
                        </w:r>
                      </w:p>
                    </w:tc>
                    <w:tc>
                      <w:tcPr>
                        <w:tcW w:type="dxa" w:w="45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月</w:t>
                        </w:r>
                      </w:p>
                    </w:tc>
                    <w:tc>
                      <w:tcPr>
                        <w:tcW w:type="dxa" w:w="44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办公电脑、打印</w:t>
                        </w:r>
                        <w:r>
                          <w:rPr>
                            <w:sz w:val="24"/>
                          </w:rPr>
                          <w:t>机、文具耗材、</w:t>
                        </w:r>
                        <w:r>
                          <w:rPr>
                            <w:sz w:val="24"/>
                          </w:rPr>
                          <w:t>网费、快递费等</w:t>
                        </w:r>
                      </w:p>
                    </w:tc>
                  </w:tr>
                  <w:tr>
                    <w:tc>
                      <w:tcPr>
                        <w:tcW w:type="dxa" w:w="828"/>
                        <w:vMerge/>
                        <w:tcBorders>
                          <w:top w:val="none" w:color="000000" w:sz="4"/>
                          <w:left w:val="single" w:color="000000" w:sz="4"/>
                          <w:bottom w:val="single" w:color="000000" w:sz="4"/>
                          <w:right w:val="single" w:color="000000" w:sz="4"/>
                        </w:tcBorders>
                      </w:tcPr>
                      <w:p/>
                    </w:tc>
                    <w:tc>
                      <w:tcPr>
                        <w:tcW w:type="dxa" w:w="150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办公区水电费</w:t>
                        </w:r>
                      </w:p>
                    </w:tc>
                    <w:tc>
                      <w:tcPr>
                        <w:tcW w:type="dxa" w:w="45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月</w:t>
                        </w:r>
                      </w:p>
                    </w:tc>
                    <w:tc>
                      <w:tcPr>
                        <w:tcW w:type="dxa" w:w="44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办公区用水用电</w:t>
                        </w:r>
                      </w:p>
                    </w:tc>
                  </w:tr>
                  <w:tr>
                    <w:tc>
                      <w:tcPr>
                        <w:tcW w:type="dxa" w:w="828"/>
                        <w:vMerge/>
                        <w:tcBorders>
                          <w:top w:val="none" w:color="000000" w:sz="4"/>
                          <w:left w:val="single" w:color="000000" w:sz="4"/>
                          <w:bottom w:val="single" w:color="000000" w:sz="4"/>
                          <w:right w:val="single" w:color="000000" w:sz="4"/>
                        </w:tcBorders>
                      </w:tcPr>
                      <w:p/>
                    </w:tc>
                    <w:tc>
                      <w:tcPr>
                        <w:tcW w:type="dxa" w:w="150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风险金</w:t>
                        </w:r>
                      </w:p>
                    </w:tc>
                    <w:tc>
                      <w:tcPr>
                        <w:tcW w:type="dxa" w:w="45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笔</w:t>
                        </w:r>
                      </w:p>
                    </w:tc>
                    <w:tc>
                      <w:tcPr>
                        <w:tcW w:type="dxa" w:w="44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20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不可预见费用，按主营成本的</w:t>
                        </w:r>
                        <w:r>
                          <w:rPr>
                            <w:sz w:val="24"/>
                          </w:rPr>
                          <w:t>3%估算</w:t>
                        </w:r>
                      </w:p>
                    </w:tc>
                  </w:tr>
                </w:tbl>
                <w:p>
                  <w:pPr>
                    <w:pStyle w:val="null3"/>
                    <w:ind w:firstLine="420"/>
                    <w:jc w:val="both"/>
                  </w:pPr>
                </w:p>
              </w:tc>
            </w:tr>
          </w:tbl>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1.采购代理机构：本项目是指河源市新启项目咨询管理有限公司，负责整个采购活动的组织，依法负责编制和发布磋商文件，对磋商文件拥有最终的解释权，不以任何身份出任磋商小组成员。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连平县工业园管理委员会</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采购机构代理服务收费标准：参照物价局（计价格{2002}1980号）文规定进行收取</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采购包1：面向中小企业，以合同分包形式预留，预留比例：40%。</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 xml:space="preserve"> 如采用转账、支票、本票、汇票形式提交的，响应保证金从供应商基本账户递交，由</w:t>
      </w:r>
      <w:r>
        <w:rPr/>
        <w:t>河源市新启项目咨询管理有限公司</w:t>
      </w:r>
      <w:r>
        <w:rPr/>
        <w:t>代收。具体操作要求详见</w:t>
      </w:r>
      <w:r>
        <w:rPr/>
        <w:t>河源市新启项目咨询管理有限公司</w:t>
      </w:r>
      <w:r>
        <w:rPr/>
        <w:t>有关指引，递交事宜请自行咨询</w:t>
      </w:r>
      <w:r>
        <w:rPr/>
        <w:t>河源市新启项目咨询管理有限公司</w:t>
      </w:r>
      <w:r>
        <w:rPr/>
        <w:t>；请各供应商在响应文件递交截止时间前按须知前附表规定的金额递交至</w:t>
      </w:r>
      <w:r>
        <w:rPr/>
        <w:t>河源市新启项目咨询管理有限公司</w:t>
      </w:r>
      <w:r>
        <w:rPr/>
        <w:t>，到账情况以开启时</w:t>
      </w:r>
      <w:r>
        <w:rPr/>
        <w:t>河源市新启项目咨询管理有限公司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 xml:space="preserve"> 供应商可通过"广东政府采购智慧云平台金融服务中心"(https://gdgpo.czt.gd.gov.cn/zcdservice/zcd/guangdong/)，申请办理电子保函，电子保函与纸质保函具有同样效力。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（2）未成交的供应商保证金，在成交通知书发出后5个工作日内原额退还。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 xml:space="preserve"> 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王先生</w:t>
      </w:r>
    </w:p>
    <w:p>
      <w:pPr>
        <w:pStyle w:val="null3"/>
        <w:ind w:firstLine="480"/>
      </w:pPr>
      <w:r>
        <w:rPr/>
        <w:t>电话：</w:t>
      </w:r>
      <w:r>
        <w:rPr/>
        <w:t>0762-6743898</w:t>
      </w:r>
    </w:p>
    <w:p>
      <w:pPr>
        <w:pStyle w:val="null3"/>
        <w:ind w:firstLine="480"/>
      </w:pPr>
      <w:r>
        <w:rPr/>
        <w:t>传真：</w:t>
      </w:r>
      <w:r>
        <w:rPr/>
        <w:t>0762-6743898</w:t>
      </w:r>
    </w:p>
    <w:p>
      <w:pPr>
        <w:pStyle w:val="null3"/>
        <w:ind w:firstLine="480"/>
      </w:pPr>
      <w:r>
        <w:rPr/>
        <w:t>邮箱：</w:t>
      </w:r>
      <w:r>
        <w:rPr/>
        <w:t>315463802@qq.com</w:t>
      </w:r>
    </w:p>
    <w:p>
      <w:pPr>
        <w:pStyle w:val="null3"/>
        <w:ind w:firstLine="480"/>
      </w:pPr>
      <w:r>
        <w:rPr/>
        <w:t>地址：</w:t>
      </w:r>
      <w:r>
        <w:rPr/>
        <w:t>河源市连平县元善镇肖国排新村苑第一、二层</w:t>
      </w:r>
    </w:p>
    <w:p>
      <w:pPr>
        <w:pStyle w:val="null3"/>
        <w:ind w:firstLine="480"/>
      </w:pPr>
      <w:r>
        <w:rPr/>
        <w:t>邮编：</w:t>
      </w:r>
      <w:r>
        <w:rPr/>
        <w:t>517100</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政府采购监督管理机构名称：连平县财政局政府采购监管股</w:t>
      </w:r>
    </w:p>
    <w:p>
      <w:pPr>
        <w:pStyle w:val="null3"/>
      </w:pPr>
      <w:r>
        <w:rPr/>
        <w:t>地 址：河源市连平县新城大道</w:t>
      </w:r>
    </w:p>
    <w:p>
      <w:pPr>
        <w:pStyle w:val="null3"/>
      </w:pPr>
      <w:r>
        <w:rPr/>
        <w:t>电 话：0762-4322035</w:t>
      </w:r>
    </w:p>
    <w:p>
      <w:pPr>
        <w:pStyle w:val="null3"/>
      </w:pPr>
      <w:r>
        <w:rPr/>
        <w:t>邮 编：517100</w:t>
      </w:r>
    </w:p>
    <w:p>
      <w:pPr>
        <w:pStyle w:val="null3"/>
      </w:pPr>
      <w:r>
        <w:rPr/>
        <w:t>传 真：0762-4322035</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连平县生态工业园环卫保洁与绿化养护项目)：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河源市新启项目咨询管理有限公司</w:t>
      </w:r>
      <w:r>
        <w:rPr/>
        <w:t>统一对外发布。</w:t>
      </w:r>
    </w:p>
    <w:p>
      <w:pPr>
        <w:pStyle w:val="null3"/>
        <w:ind w:firstLine="480"/>
      </w:pPr>
      <w:r>
        <w:rPr/>
        <w:t>（2）对</w:t>
      </w:r>
      <w:r>
        <w:rPr/>
        <w:t>河源市新启项目咨询管理有限公司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采购包1（连平县生态工业园环卫保洁与绿化养护项目）：</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r>
        <w:rPr/>
        <w:t>采购包1（连平县生态工业园环卫保洁与绿化养护项目）：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具有独立承担民事责任能力的在中华人民共和国境内注册的法人或其他组织或自然人：提供有效的营业执照或事业法人登记证或身份证等相关证明文件</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提供资格条件承诺函（格式参照公告附件）</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提供资格条件承诺函（格式参照公告附件）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提供资格条件承诺函（格式参照公告附件）</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提供资格条件承诺函（格式参照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格式参照公告附件）】</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供应商必须符合法律、行政法规规定的其他条件（1）单位负责人为同一人或者存在直接控股、管理关系的不同供应商，不得参加同一合同项下的政府采购活动（提供声明函，格式自拟）； （2）为本项目提供整体设计、规范编制或者项目管理、监理、检测等服务的供应商，不得再参加本项目的采购活动（提供声明函，格式自拟）</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预留部分采购项目预算专门面向中小企业采购，以合同分包形式预留份额给中小企业。对于预留份额，提供的服务由符合政策要求的中小企业承接。预留份额通过以下措施进行，供应商可选择以下其中一种方式参与： ①供应商不属于中小企业的，必须将本项目分包给一家或者多家具备实施能力的中小企业，中小企业承担的合同份额占合同金额的比例达到40%或以上（其中预留给小微企业的部分不低于合同金额的28%），接受分包合同的中小企业与分包企业之间不得存在直接控股、管理关系；【提供符合上述比例的分包意向协议书（可参考公告附件）、分包意向协议书上述比例全部服务的承接方的《中小企业声明函》或由省级以上监狱管理局、戒毒管理局(含新疆生产建设兵团)出具的分包意向协议书上述比例的承接方属于监狱企业的证明文件或分包意向协议书上述比例的承接方的《残疾人福利性单位声明函》】 ②供应商属于中小企业的，是否采取分包不作强制要求；【提供全部服务的供应商的《中小企业声明函》或由监狱管理局、戒毒管理局(含新疆生产建设兵团)出具的供应商属于监狱企业的证明文件或《残疾人福利性单位声明函》】</w:t>
            </w:r>
          </w:p>
        </w:tc>
      </w:tr>
    </w:tbl>
    <w:p>
      <w:pPr>
        <w:pStyle w:val="null3"/>
        <w:ind w:firstLine="480"/>
      </w:pPr>
      <w:r>
        <w:rPr/>
        <w:t>表二符合性审查表：</w:t>
      </w:r>
    </w:p>
    <w:p>
      <w:pPr>
        <w:pStyle w:val="null3"/>
      </w:pPr>
      <w:r>
        <w:rPr/>
        <w:t>采购包1（连平县生态工业园环卫保洁与绿化养护项目）：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响应文件签字授权</w:t>
            </w:r>
          </w:p>
        </w:tc>
        <w:tc>
          <w:tcPr>
            <w:tcW w:type="dxa" w:w="4238"/>
          </w:tcPr>
          <w:p>
            <w:pPr>
              <w:pStyle w:val="null3"/>
            </w:pPr>
            <w:r>
              <w:rPr/>
              <w:t>响应文件签字人非法定代表人的须提供法定代表人的有效授权</w:t>
            </w:r>
          </w:p>
        </w:tc>
      </w:tr>
      <w:tr>
        <w:tc>
          <w:tcPr>
            <w:tcW w:type="dxa" w:w="890"/>
          </w:tcPr>
          <w:p>
            <w:pPr>
              <w:pStyle w:val="null3"/>
            </w:pPr>
            <w:r>
              <w:rPr/>
              <w:t>2</w:t>
            </w:r>
          </w:p>
        </w:tc>
        <w:tc>
          <w:tcPr>
            <w:tcW w:type="dxa" w:w="3178"/>
          </w:tcPr>
          <w:p>
            <w:pPr>
              <w:pStyle w:val="null3"/>
            </w:pPr>
            <w:r>
              <w:rPr/>
              <w:t>响应有效期</w:t>
            </w:r>
          </w:p>
        </w:tc>
        <w:tc>
          <w:tcPr>
            <w:tcW w:type="dxa" w:w="4238"/>
          </w:tcPr>
          <w:p>
            <w:pPr>
              <w:pStyle w:val="null3"/>
            </w:pPr>
            <w:r>
              <w:rPr/>
              <w:t>响应有效期符合采购文件的要求</w:t>
            </w:r>
          </w:p>
        </w:tc>
      </w:tr>
      <w:tr>
        <w:tc>
          <w:tcPr>
            <w:tcW w:type="dxa" w:w="890"/>
          </w:tcPr>
          <w:p>
            <w:pPr>
              <w:pStyle w:val="null3"/>
            </w:pPr>
            <w:r>
              <w:rPr/>
              <w:t>3</w:t>
            </w:r>
          </w:p>
        </w:tc>
        <w:tc>
          <w:tcPr>
            <w:tcW w:type="dxa" w:w="3178"/>
          </w:tcPr>
          <w:p>
            <w:pPr>
              <w:pStyle w:val="null3"/>
            </w:pPr>
            <w:r>
              <w:rPr/>
              <w:t>响应文件的签署及盖章</w:t>
            </w:r>
          </w:p>
        </w:tc>
        <w:tc>
          <w:tcPr>
            <w:tcW w:type="dxa" w:w="4238"/>
          </w:tcPr>
          <w:p>
            <w:pPr>
              <w:pStyle w:val="null3"/>
            </w:pPr>
            <w:r>
              <w:rPr/>
              <w:t>响应文件是符合采购文件的要求</w:t>
            </w:r>
          </w:p>
        </w:tc>
      </w:tr>
      <w:tr>
        <w:tc>
          <w:tcPr>
            <w:tcW w:type="dxa" w:w="890"/>
          </w:tcPr>
          <w:p>
            <w:pPr>
              <w:pStyle w:val="null3"/>
            </w:pPr>
            <w:r>
              <w:rPr/>
              <w:t>4</w:t>
            </w:r>
          </w:p>
        </w:tc>
        <w:tc>
          <w:tcPr>
            <w:tcW w:type="dxa" w:w="3178"/>
          </w:tcPr>
          <w:p>
            <w:pPr>
              <w:pStyle w:val="null3"/>
            </w:pPr>
            <w:r>
              <w:rPr/>
              <w:t>响应情况</w:t>
            </w:r>
          </w:p>
        </w:tc>
        <w:tc>
          <w:tcPr>
            <w:tcW w:type="dxa" w:w="4238"/>
          </w:tcPr>
          <w:p>
            <w:pPr>
              <w:pStyle w:val="null3"/>
            </w:pPr>
            <w:r>
              <w:rPr/>
              <w:t>符合★号条款，商务和技术响应内容没有严重偏离采购需求</w:t>
            </w:r>
          </w:p>
        </w:tc>
      </w:tr>
      <w:tr>
        <w:tc>
          <w:tcPr>
            <w:tcW w:type="dxa" w:w="890"/>
          </w:tcPr>
          <w:p>
            <w:pPr>
              <w:pStyle w:val="null3"/>
            </w:pPr>
            <w:r>
              <w:rPr/>
              <w:t>5</w:t>
            </w:r>
          </w:p>
        </w:tc>
        <w:tc>
          <w:tcPr>
            <w:tcW w:type="dxa" w:w="3178"/>
          </w:tcPr>
          <w:p>
            <w:pPr>
              <w:pStyle w:val="null3"/>
            </w:pPr>
            <w:r>
              <w:rPr/>
              <w:t>报价</w:t>
            </w:r>
          </w:p>
        </w:tc>
        <w:tc>
          <w:tcPr>
            <w:tcW w:type="dxa" w:w="4238"/>
          </w:tcPr>
          <w:p>
            <w:pPr>
              <w:pStyle w:val="null3"/>
            </w:pPr>
            <w:r>
              <w:rPr/>
              <w:t>（1）报价是固定不变价；（2）报价无明显不合理或低于合理成本价；（3）报价没有超出采购预算</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采购包1(连平县生态工业园环卫保洁与绿化养护项目):</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技术部分50.0分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项目管理总体方案 (9.0分)</w:t>
            </w:r>
          </w:p>
        </w:tc>
        <w:tc>
          <w:tcPr>
            <w:tcW w:type="dxa" w:w="5076"/>
          </w:tcPr>
          <w:p>
            <w:pPr>
              <w:pStyle w:val="null3"/>
              <w:jc w:val="left"/>
            </w:pPr>
            <w:r>
              <w:rPr/>
              <w:t>根据响应供应商的项目管理总体方案进行评审： （1）有提供项目管理总体方案，项目管理总体方案全面完整（包含且不限于对采购需求的响应情况、项目保洁服务方案、垃圾收运服务方案、车辆维护与管理方案、绿化养护服务方案、符合项目的其他管理方案等），条理清晰，详尽细致，切实贴合本项目实际情况，科学可行的，得9分； （2） 有提供项目管理总体方案，项目管理总体方案全面完整（包含且不限于对采购需求的响应情况、项目保洁服务方案、垃圾收运服务方案、车辆维护与管理方案、绿化养护服务方案、符合项目的其他管理方案等），切实贴合本项目实际情况，科学可行，但方案较简略或条理不清晰的，得7分； （3）有提供项目管理总体方案，项目管理总体方案全面完整（包含且不限于对采购需求的响应情况、项目保洁服务方案、垃圾收运服务方案、车辆维护与管理方案、绿化养护服务方案、符合项目的其他管理方案等）科学可行，但存在部分脱离本项目实际情况的，得5分； （4）有提供项目管理总体方案，项目管理总体方案全面完整（包含且不限于对采购需求的响应情况、项目保洁服务方案、垃圾收运服务方案、车辆维护与管理方案、绿化养护服务方案、符合项目的其他管理方案等），但合理性有瑕疵的，得3分； （5）有提供项目管理总体方案，但项目管理总体方案不全面完整（未完整包含对采购需求的响应情况、项目保洁服务方案、垃圾收运服务方案、车辆维护与管理方案、绿化养护服务方案、符合项目的其他管理方案等）的，得1分； （6）未在响应文件中提供相关信息的，不得分。</w:t>
            </w:r>
          </w:p>
        </w:tc>
      </w:tr>
      <w:tr>
        <w:tc>
          <w:tcPr>
            <w:tcW w:type="dxa" w:w="922"/>
            <w:gridSpan w:val="2"/>
            <w:vMerge/>
          </w:tcPr>
          <w:p/>
        </w:tc>
        <w:tc>
          <w:tcPr>
            <w:tcW w:type="dxa" w:w="2307"/>
          </w:tcPr>
          <w:p>
            <w:pPr>
              <w:pStyle w:val="null3"/>
              <w:jc w:val="left"/>
            </w:pPr>
            <w:r>
              <w:rPr/>
              <w:t>机构设立、运作流程、管理计划 (9.0分)</w:t>
            </w:r>
          </w:p>
        </w:tc>
        <w:tc>
          <w:tcPr>
            <w:tcW w:type="dxa" w:w="5076"/>
          </w:tcPr>
          <w:p>
            <w:pPr>
              <w:pStyle w:val="null3"/>
              <w:jc w:val="left"/>
            </w:pPr>
            <w:r>
              <w:rPr/>
              <w:t>根据响应供应商的机构设立、运作流程、管理计划进行评审： （1）有提供机构设立、运作流程、管理计划，机构设立、运作流程、管理计划全面完整（包含且不限于组织机构的设立、管理机构的运作、管理运作流程、项目管理计划等），条理清晰，详尽细致，切实贴合本项目实际情况，科学可行的，得9分； （2）有提供机构设立、运作流程、管理计划，机构设立、运作流程、管理计划全面完整（包含且不限于组织机构的设立、管理机构的运作、管理运作流程、项目管理计划等），切实贴合本项目实际情况，科学可行，但方案较简略或条理不清晰的，得7分； （3）有提供机构设立、运作流程、管理计划，机构设立、运作流程、管理计划全面完整（包含且不限于组织机构的设立、管理机构的运作、管理运作流程、项目管理计划等）科学可行，但存在部分脱离本项目实际情况的，得5分； （4）有提供机构设立、运作流程、管理计划，机构设立、运作流程、管理计划全面完整（包含且不限于组织机构的设立、管理机构的运作、管理运作流程、项目管理计划等），但合理性有瑕疵的，得3分； （5） 有提供机构设立、运作流程、管理计划，但机构设立、运作流程、管理计划不全面完整（未完整包含组织机构的设立、管理机构的运作、管理运作流程、项目管理计划等）的，得1分； （6） 未在响应文件中提供相关信息的，不得分。</w:t>
            </w:r>
          </w:p>
        </w:tc>
      </w:tr>
      <w:tr>
        <w:tc>
          <w:tcPr>
            <w:tcW w:type="dxa" w:w="922"/>
            <w:gridSpan w:val="2"/>
            <w:vMerge/>
          </w:tcPr>
          <w:p/>
        </w:tc>
        <w:tc>
          <w:tcPr>
            <w:tcW w:type="dxa" w:w="2307"/>
          </w:tcPr>
          <w:p>
            <w:pPr>
              <w:pStyle w:val="null3"/>
              <w:jc w:val="left"/>
            </w:pPr>
            <w:r>
              <w:rPr/>
              <w:t>项目安全管理方案 (9.0分)</w:t>
            </w:r>
          </w:p>
        </w:tc>
        <w:tc>
          <w:tcPr>
            <w:tcW w:type="dxa" w:w="5076"/>
          </w:tcPr>
          <w:p>
            <w:pPr>
              <w:pStyle w:val="null3"/>
              <w:jc w:val="left"/>
            </w:pPr>
            <w:r>
              <w:rPr/>
              <w:t>根据响应供应商的项目安全管理方案进行评审： （1）有提供项目安全管理方案，项目安全管理方案全面完整（包含且不限于安全工作计划示意图、安全生产管理架构、安全管理制度等），条理清晰，详尽细致，切实贴合本项目实际情况，科学可行的，得9分； （2）有提供项目安全管理方案，项目安全管理方案全面完整（包含且不限于安全工作计划示意图、安全生产管理架构、安全管理制度等），切实贴合本项目实际情况，科学可行，但方案较简略或条理不清晰的，得7分； （3）有提供项目安全管理方案，项目安全管理方案全面完整（包含且不限于安全工作计划示意图、安全生产管理架构、安全管理制度等）科学可行，但存在部分脱离本项目实际情况的，得5分； （4） 有提供项目安全管理方案，项目安全管理方案全面完整（包含且不限于安全工作计划示意图、安全生产管理架构、安全管理制度等），但合理性有瑕疵的，得3分； （5） 有提供项目安全管理方案，但项目安全管理方案不全面完整（未完整包含安全工作计划示意图、安全生产管理架构、安全管理制度等）的，得1分； （6）未在响应文件中提供相关信息的，不得分。</w:t>
            </w:r>
          </w:p>
        </w:tc>
      </w:tr>
      <w:tr>
        <w:tc>
          <w:tcPr>
            <w:tcW w:type="dxa" w:w="922"/>
            <w:gridSpan w:val="2"/>
            <w:vMerge/>
          </w:tcPr>
          <w:p/>
        </w:tc>
        <w:tc>
          <w:tcPr>
            <w:tcW w:type="dxa" w:w="2307"/>
          </w:tcPr>
          <w:p>
            <w:pPr>
              <w:pStyle w:val="null3"/>
              <w:jc w:val="left"/>
            </w:pPr>
            <w:r>
              <w:rPr/>
              <w:t>应急方案 (9.0分)</w:t>
            </w:r>
          </w:p>
        </w:tc>
        <w:tc>
          <w:tcPr>
            <w:tcW w:type="dxa" w:w="5076"/>
          </w:tcPr>
          <w:p>
            <w:pPr>
              <w:pStyle w:val="null3"/>
              <w:jc w:val="left"/>
            </w:pPr>
            <w:r>
              <w:rPr/>
              <w:t>根据响应供应商的应急方案进行评审： （1）有提供应急方案，应急方案全面完整（包含且不限于应急预案管理办法及措施、应急人员的调配及管理、重大节假日应急预案、考评期间应急预案、台风，暴雨等自然灾害应急预案方案等），条理清晰，详尽细致，切实贴合本项目实际情况，科学可行的，得9分； （2） 有提供应急方案，应急方案全面完整（包含且不限于应急预案管理办法及措施、应急人员的调配及管理、重大节假日应急预案、考评期间应急预案、台风，暴雨等自然灾害应急预案方案等），切实贴合本项目实际情况，科学可行，但方案较简略或条理不清晰的，得7分； （3）有提供应急方案，应急方案全面完整（包含且不限于应急预案管理办法及措施、应急人员的调配及管理、重大节假日应急预案、考评期间应急预案、台风，暴雨等自然灾害应急预案方案等）科学可行，但存在部分脱离本项目实际情况的，得5分； （4）有提供应急方案，应急方案全面完整（包含且不限于应急预案管理办法及措施、应急人员的调配及管理、重大节假日应急预案、考评期间应急预案、台风，暴雨等自然灾害应急预案方案等），但合理性有瑕疵的，得3分； （5）有提供应急方案，但应急方案不全面完整（未完整包含应急预案管理办法及措施、应急人员的调配及管理、重大节假日应急预案、考评期间应急预案、台风，暴雨等自然灾害应急预案方案等）的，得1分； （6） 未在响应文件中提供相关信息的，不得分。</w:t>
            </w:r>
          </w:p>
        </w:tc>
      </w:tr>
      <w:tr>
        <w:tc>
          <w:tcPr>
            <w:tcW w:type="dxa" w:w="922"/>
            <w:gridSpan w:val="2"/>
            <w:vMerge/>
          </w:tcPr>
          <w:p/>
        </w:tc>
        <w:tc>
          <w:tcPr>
            <w:tcW w:type="dxa" w:w="2307"/>
          </w:tcPr>
          <w:p>
            <w:pPr>
              <w:pStyle w:val="null3"/>
              <w:jc w:val="left"/>
            </w:pPr>
            <w:r>
              <w:rPr/>
              <w:t>工作人员培训及管理 (8.0分)</w:t>
            </w:r>
          </w:p>
        </w:tc>
        <w:tc>
          <w:tcPr>
            <w:tcW w:type="dxa" w:w="5076"/>
          </w:tcPr>
          <w:p>
            <w:pPr>
              <w:pStyle w:val="null3"/>
              <w:jc w:val="left"/>
            </w:pPr>
            <w:r>
              <w:rPr/>
              <w:t>根据响应供应商的工作人员培训及管理进行评审： （1）有提供工作人员培训及管理，工作人员培训及管理全面完整（包含且不限于培训计划、培训方式、培训内容、培训考核等），条理清晰，详尽细致，切实贴合本项目实际情况，科学可行的，得8分； （2） 有提供工作人员培训及管理，工作人员培训及管理全面完整（包含且不限于培训计划、培训方式、培训内容、培训考核等），切实贴合本项目实际情况，科学可行，但方案较简略或条理不清晰的，得6分； （3） 有提供工作人员培训及管理，工作人员培训及管理全面完整（包含且不限于培训计划、培训方式、培训内容、培训考核等）科学可行，但存在部分脱离本项目实际情况的，得4分； （4）有提供工作人员培训及管理，工作人员培训及管理全面完整（包含且不限于培训计划、培训方式、培训内容、培训考核等），但合理性有瑕疵的，得2分； （5） 有提供工作人员培训及管理，但工作人员培训及管理不全面完整（未完整包含培训计划、培训方式、培训内容、培训考核等）的，得1分； （6）未在响应文件中提供相关信息的，不得分。</w:t>
            </w:r>
          </w:p>
        </w:tc>
      </w:tr>
      <w:tr>
        <w:tc>
          <w:tcPr>
            <w:tcW w:type="dxa" w:w="922"/>
            <w:gridSpan w:val="2"/>
            <w:vMerge/>
          </w:tcPr>
          <w:p/>
        </w:tc>
        <w:tc>
          <w:tcPr>
            <w:tcW w:type="dxa" w:w="2307"/>
          </w:tcPr>
          <w:p>
            <w:pPr>
              <w:pStyle w:val="null3"/>
              <w:jc w:val="left"/>
            </w:pPr>
            <w:r>
              <w:rPr/>
              <w:t>质量保证体系及措施 (6.0分)</w:t>
            </w:r>
          </w:p>
        </w:tc>
        <w:tc>
          <w:tcPr>
            <w:tcW w:type="dxa" w:w="5076"/>
          </w:tcPr>
          <w:p>
            <w:pPr>
              <w:pStyle w:val="null3"/>
              <w:jc w:val="left"/>
            </w:pPr>
            <w:r>
              <w:rPr/>
              <w:t>根据响应供应商的质量保证体系及措施等内容进行评审： （1）有提供质量保证体系及措施，质量保证体系及措施全面完整（包含且不限于符合本项目各项内容的质量保证措施、建立完善的质量保障体系控制程序、分项质量目标等），条理清晰，详尽细致，切实贴合本项目实际情况，科学可行的，得6分； （2）有提供质量保证体系及措施，质量保证体系及措施全面完整（包含且不限于符合本项目各项内容的质量保证措施、建立完善的质量保障体系控制程序、分项质量目标等），切实贴合本项目实际情况，科学可行，但方案较简略或条理不清晰的，得4.5分； （3）有提供质量保证体系及措施，质量保证体系及措施全面完整（包含且不限于符合本项目各项内容的质量保证措施、建立完善的质量保障体系控制程序、分项质量目标等）科学可行，但存在部分脱离本项目实际情况的，得3分； （4）有提供质量保证体系及措施，质量保证体系及措施全面完整（包含且不限于符合本项目各项内容的质量保证措施、建立完善的质量保障体系控制程序、分项质量目标等），但合理性有瑕疵的，得2分； （5） 有提供质量保证体系及措施，但质量保证体系及措施不全面完整（未完整包含符合本项目各项内容的质量保证措施、建立完善的质量保障体系控制程序、分项质量目标等）的，得1分； （6） 未在响应文件中提供相关信息的，不得分。</w:t>
            </w:r>
          </w:p>
        </w:tc>
      </w:tr>
      <w:tr>
        <w:tc>
          <w:tcPr>
            <w:tcW w:type="dxa" w:w="922"/>
            <w:gridSpan w:val="2"/>
            <w:vMerge w:val="restart"/>
          </w:tcPr>
          <w:p>
            <w:pPr>
              <w:pStyle w:val="null3"/>
              <w:jc w:val="center"/>
            </w:pPr>
            <w:r>
              <w:rPr/>
              <w:t>商务部分</w:t>
            </w:r>
          </w:p>
        </w:tc>
        <w:tc>
          <w:tcPr>
            <w:tcW w:type="dxa" w:w="2307"/>
          </w:tcPr>
          <w:p>
            <w:pPr>
              <w:pStyle w:val="null3"/>
              <w:jc w:val="left"/>
            </w:pPr>
            <w:r>
              <w:rPr/>
              <w:t>项目管理人员配备情况 (16.0分)</w:t>
            </w:r>
          </w:p>
        </w:tc>
        <w:tc>
          <w:tcPr>
            <w:tcW w:type="dxa" w:w="5076"/>
          </w:tcPr>
          <w:p>
            <w:pPr>
              <w:pStyle w:val="null3"/>
              <w:jc w:val="left"/>
            </w:pPr>
            <w:r>
              <w:rPr/>
              <w:t>1.项目负责人： （1） 全日制本科或以上学历，得3分；大专或以上学历,得1.5分；无或提供无效证书的不得分； （2） 具有人社部门颁发的高级或以上职称（环境类或园林绿化类），得3分；具有中级职称得，得1.5分；无或提供无效证书的不得分； （3） 具有与本项目工作内容相关的项目经理证书，得3分；无或提供无效证书的不得分； 注：本项最高得9分，须提供相关证书的扫描件，以及响应供应商为其缴纳的响应截止时间前半年内任意一个月的社保证明（依法免缴或缓交社保的，须提供对应证明材料代替）材料扫描件作为评审依据，不提供或提供无效、不清晰无法辨别的证明材料不得分。 2.项目主管： (1) 全日制环境类或园林绿化类本科或以上学历，得3分；大专或以上学历,得1.5分；无或提供无效证书的不得分； (2) 具有人社部门颁发的高级或以上职称（环境类或园林绿化类），得4分；具有中级职称的，得2分； 注：本项最高得7分，须提供相关证书的扫描件，以及响应供应商为其缴纳的响应截止时间前半年内任意一个月的社保证明（依法免缴或缓交社保的，须提供对应证明材料代替）材料作为评审依据，不提供或提供无效、不清晰无法辨别的证明材料不得分。</w:t>
            </w:r>
          </w:p>
        </w:tc>
      </w:tr>
      <w:tr>
        <w:tc>
          <w:tcPr>
            <w:tcW w:type="dxa" w:w="922"/>
            <w:gridSpan w:val="2"/>
            <w:vMerge/>
          </w:tcPr>
          <w:p/>
        </w:tc>
        <w:tc>
          <w:tcPr>
            <w:tcW w:type="dxa" w:w="2307"/>
          </w:tcPr>
          <w:p>
            <w:pPr>
              <w:pStyle w:val="null3"/>
              <w:jc w:val="left"/>
            </w:pPr>
            <w:r>
              <w:rPr/>
              <w:t>管理体系认证情况 (15.0分)</w:t>
            </w:r>
          </w:p>
        </w:tc>
        <w:tc>
          <w:tcPr>
            <w:tcW w:type="dxa" w:w="5076"/>
          </w:tcPr>
          <w:p>
            <w:pPr>
              <w:pStyle w:val="null3"/>
              <w:jc w:val="left"/>
            </w:pPr>
            <w:r>
              <w:rPr/>
              <w:t>响应供应商具有有效期内的质量管理体系认证、环境管理体系认证、履约能力达标测评认证证书、道路交通安全管理体系认证证书、应急预案管理能力评价体系认证证书，每个证书得3分，最高15分。 注 ：须提供证书扫描件作为评审依据，不提供或提供不清晰无法辨别的证明材料不得分。</w:t>
            </w:r>
          </w:p>
        </w:tc>
      </w:tr>
      <w:tr>
        <w:tc>
          <w:tcPr>
            <w:tcW w:type="dxa" w:w="922"/>
            <w:gridSpan w:val="2"/>
            <w:vMerge/>
          </w:tcPr>
          <w:p/>
        </w:tc>
        <w:tc>
          <w:tcPr>
            <w:tcW w:type="dxa" w:w="2307"/>
          </w:tcPr>
          <w:p>
            <w:pPr>
              <w:pStyle w:val="null3"/>
              <w:jc w:val="left"/>
            </w:pPr>
            <w:r>
              <w:rPr/>
              <w:t>同类项目经验 (9.0分)</w:t>
            </w:r>
          </w:p>
        </w:tc>
        <w:tc>
          <w:tcPr>
            <w:tcW w:type="dxa" w:w="5076"/>
          </w:tcPr>
          <w:p>
            <w:pPr>
              <w:pStyle w:val="null3"/>
              <w:jc w:val="left"/>
            </w:pPr>
            <w:r>
              <w:rPr/>
              <w:t>依据2022年以来的同类项目合同（以合同签订时间为准）情况进行评审，每提供一个同类项目经验的得3分，最高得9分。 注：须提供合同扫描件作为评审依据，不提供或提供不清晰无法辨别的证明材料不得分。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rFonts w:ascii="宋体" w:hAnsi="宋体" w:cs="宋体" w:eastAsia="宋体"/>
          <w:sz w:val="48"/>
          <w:b/>
          <w:color w:val="222222"/>
        </w:rPr>
        <w:t xml:space="preserve"> </w:t>
      </w:r>
    </w:p>
    <w:p>
      <w:pPr>
        <w:pStyle w:val="null3"/>
        <w:shd w:fill="FFFFFF"/>
        <w:spacing w:before="0" w:after="0"/>
        <w:ind w:left="0" w:right="0"/>
        <w:jc w:val="center"/>
      </w:pPr>
      <w:r>
        <w:rPr>
          <w:rFonts w:ascii="宋体" w:hAnsi="宋体" w:cs="宋体" w:eastAsia="宋体"/>
          <w:sz w:val="48"/>
          <w:b/>
          <w:color w:val="222222"/>
        </w:rPr>
        <w:t xml:space="preserve"> </w:t>
      </w:r>
    </w:p>
    <w:p>
      <w:pPr>
        <w:pStyle w:val="null3"/>
        <w:shd w:fill="FFFFFF"/>
        <w:spacing w:before="0" w:after="0"/>
        <w:ind w:left="0" w:right="0"/>
        <w:jc w:val="center"/>
      </w:pPr>
      <w:r>
        <w:rPr>
          <w:rFonts w:ascii="宋体" w:hAnsi="宋体" w:cs="宋体" w:eastAsia="宋体"/>
          <w:sz w:val="48"/>
          <w:b/>
          <w:color w:val="222222"/>
        </w:rPr>
        <w:t xml:space="preserve"> </w:t>
      </w:r>
    </w:p>
    <w:p>
      <w:pPr>
        <w:pStyle w:val="null3"/>
        <w:shd w:fill="FFFFFF"/>
        <w:spacing w:before="0" w:after="0"/>
        <w:ind w:left="0" w:right="0"/>
        <w:jc w:val="center"/>
      </w:pPr>
      <w:r>
        <w:rPr>
          <w:rFonts w:ascii="宋体" w:hAnsi="宋体" w:cs="宋体" w:eastAsia="宋体"/>
          <w:sz w:val="48"/>
          <w:b/>
          <w:color w:val="222222"/>
        </w:rPr>
        <w:t xml:space="preserve"> </w:t>
      </w:r>
    </w:p>
    <w:p>
      <w:pPr>
        <w:pStyle w:val="null3"/>
        <w:shd w:fill="FFFFFF"/>
        <w:spacing w:before="0" w:after="0"/>
        <w:ind w:left="0" w:right="0"/>
        <w:jc w:val="center"/>
      </w:pPr>
      <w:r>
        <w:rPr>
          <w:rFonts w:ascii="宋体" w:hAnsi="宋体" w:cs="宋体" w:eastAsia="宋体"/>
          <w:sz w:val="48"/>
          <w:b/>
          <w:color w:val="222222"/>
        </w:rPr>
        <w:t>广东省政府采购</w:t>
      </w:r>
    </w:p>
    <w:p>
      <w:pPr>
        <w:pStyle w:val="null3"/>
        <w:shd w:fill="FFFFFF"/>
        <w:spacing w:before="150" w:after="150"/>
        <w:ind w:left="0" w:right="0"/>
        <w:jc w:val="both"/>
      </w:pPr>
      <w:r>
        <w:rPr>
          <w:rFonts w:ascii="helvetica" w:hAnsi="helvetica" w:cs="helvetica" w:eastAsia="helvetica"/>
          <w:sz w:val="27"/>
          <w:color w:val="222222"/>
        </w:rPr>
        <w:t xml:space="preserve"> </w:t>
      </w:r>
    </w:p>
    <w:p>
      <w:pPr>
        <w:pStyle w:val="null3"/>
        <w:shd w:fill="FFFFFF"/>
        <w:spacing w:before="0" w:after="0"/>
        <w:ind w:left="0" w:right="0"/>
        <w:jc w:val="center"/>
      </w:pPr>
      <w:r>
        <w:rPr>
          <w:rFonts w:ascii="宋体" w:hAnsi="宋体" w:cs="宋体" w:eastAsia="宋体"/>
          <w:sz w:val="48"/>
          <w:b/>
          <w:color w:val="222222"/>
        </w:rPr>
        <w:t>合　同　书</w:t>
      </w:r>
    </w:p>
    <w:p>
      <w:pPr>
        <w:pStyle w:val="null3"/>
        <w:shd w:fill="FFFFFF"/>
        <w:spacing w:before="0" w:after="0"/>
        <w:ind w:left="0" w:right="0"/>
        <w:jc w:val="center"/>
      </w:pPr>
      <w:r>
        <w:br/>
      </w:r>
      <w:r>
        <w:br/>
      </w:r>
      <w:r>
        <w:br/>
      </w:r>
      <w:r>
        <w:br/>
      </w:r>
      <w:r>
        <w:br/>
      </w:r>
      <w:r>
        <w:br/>
      </w:r>
      <w:r>
        <w:br/>
      </w:r>
      <w:r>
        <w:br/>
      </w:r>
      <w:r>
        <w:rPr>
          <w:rFonts w:ascii="helvetica" w:hAnsi="helvetica" w:cs="helvetica" w:eastAsia="helvetica"/>
          <w:sz w:val="27"/>
          <w:color w:val="222222"/>
        </w:rPr>
        <w:t xml:space="preserve"> </w:t>
      </w:r>
    </w:p>
    <w:p>
      <w:pPr>
        <w:pStyle w:val="null3"/>
        <w:shd w:fill="FFFFFF"/>
        <w:spacing w:before="0" w:after="0"/>
        <w:ind w:left="0" w:right="0"/>
        <w:jc w:val="center"/>
      </w:pPr>
      <w:r>
        <w:rPr>
          <w:rFonts w:ascii="宋体" w:hAnsi="宋体" w:cs="宋体" w:eastAsia="宋体"/>
          <w:sz w:val="28"/>
          <w:color w:val="222222"/>
        </w:rPr>
        <w:t>采购计划编号：</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p>
    <w:p>
      <w:pPr>
        <w:pStyle w:val="null3"/>
        <w:shd w:fill="FFFFFF"/>
        <w:spacing w:before="150" w:after="150"/>
        <w:ind w:left="0" w:right="0"/>
        <w:jc w:val="both"/>
      </w:pPr>
      <w:r>
        <w:rPr>
          <w:rFonts w:ascii="helvetica" w:hAnsi="helvetica" w:cs="helvetica" w:eastAsia="helvetica"/>
          <w:sz w:val="27"/>
          <w:color w:val="222222"/>
        </w:rPr>
        <w:t xml:space="preserve"> </w:t>
      </w:r>
    </w:p>
    <w:p>
      <w:pPr>
        <w:pStyle w:val="null3"/>
        <w:shd w:fill="FFFFFF"/>
        <w:spacing w:before="0" w:after="0"/>
        <w:ind w:left="0" w:right="0"/>
        <w:jc w:val="center"/>
      </w:pPr>
      <w:r>
        <w:rPr>
          <w:rFonts w:ascii="宋体" w:hAnsi="宋体" w:cs="宋体" w:eastAsia="宋体"/>
          <w:sz w:val="28"/>
          <w:color w:val="222222"/>
        </w:rPr>
        <w:t>项目编号：</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p>
    <w:p>
      <w:pPr>
        <w:pStyle w:val="null3"/>
        <w:shd w:fill="FFFFFF"/>
        <w:spacing w:before="150" w:after="150"/>
        <w:ind w:left="0" w:right="0"/>
        <w:jc w:val="both"/>
      </w:pPr>
      <w:r>
        <w:rPr>
          <w:rFonts w:ascii="helvetica" w:hAnsi="helvetica" w:cs="helvetica" w:eastAsia="helvetica"/>
          <w:sz w:val="27"/>
          <w:color w:val="222222"/>
        </w:rPr>
        <w:t xml:space="preserve"> </w:t>
      </w:r>
    </w:p>
    <w:p>
      <w:pPr>
        <w:pStyle w:val="null3"/>
        <w:shd w:fill="FFFFFF"/>
        <w:spacing w:before="0" w:after="0"/>
        <w:ind w:left="0" w:right="0"/>
        <w:jc w:val="center"/>
      </w:pPr>
      <w:r>
        <w:rPr>
          <w:rFonts w:ascii="宋体" w:hAnsi="宋体" w:cs="宋体" w:eastAsia="宋体"/>
          <w:sz w:val="28"/>
          <w:color w:val="222222"/>
        </w:rPr>
        <w:t>项目名称：</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jc w:val="both"/>
      </w:pPr>
      <w:r>
        <w:br/>
      </w:r>
      <w:r>
        <w:rPr>
          <w:rFonts w:ascii="helvetica" w:hAnsi="helvetica" w:cs="helvetica" w:eastAsia="helvetica"/>
          <w:sz w:val="27"/>
          <w:color w:val="222222"/>
        </w:rPr>
        <w:t xml:space="preserve"> </w:t>
      </w:r>
    </w:p>
    <w:p>
      <w:pPr>
        <w:pStyle w:val="null3"/>
        <w:shd w:fill="FFFFFF"/>
        <w:spacing w:before="0" w:after="0"/>
        <w:ind w:left="0" w:right="0"/>
        <w:jc w:val="both"/>
      </w:pPr>
      <w:r>
        <w:rPr>
          <w:rFonts w:ascii="宋体" w:hAnsi="宋体" w:cs="宋体" w:eastAsia="宋体"/>
          <w:sz w:val="27"/>
          <w:b/>
          <w:color w:val="222222"/>
        </w:rPr>
        <w:t>甲方：</w:t>
      </w:r>
      <w:r>
        <w:rPr>
          <w:rFonts w:ascii="宋体" w:hAnsi="宋体" w:cs="宋体" w:eastAsia="宋体"/>
          <w:sz w:val="27"/>
          <w:b/>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p>
    <w:p>
      <w:pPr>
        <w:pStyle w:val="null3"/>
        <w:shd w:fill="FFFFFF"/>
        <w:spacing w:before="0" w:after="0"/>
        <w:ind w:left="0" w:right="0"/>
        <w:jc w:val="both"/>
      </w:pPr>
      <w:r>
        <w:rPr>
          <w:rFonts w:ascii="宋体" w:hAnsi="宋体" w:cs="宋体" w:eastAsia="宋体"/>
          <w:sz w:val="27"/>
          <w:color w:val="222222"/>
        </w:rPr>
        <w:t>电话：</w:t>
      </w:r>
      <w:r>
        <w:rPr>
          <w:rFonts w:ascii="宋体" w:hAnsi="宋体" w:cs="宋体" w:eastAsia="宋体"/>
          <w:sz w:val="27"/>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color w:val="222222"/>
        </w:rPr>
        <w:t>传真</w:t>
      </w:r>
      <w:r>
        <w:rPr>
          <w:rFonts w:ascii="宋体" w:hAnsi="宋体" w:cs="宋体" w:eastAsia="宋体"/>
          <w:sz w:val="27"/>
          <w:color w:val="222222"/>
        </w:rPr>
        <w:t xml:space="preserve"> </w:t>
      </w:r>
      <w:r>
        <w:rPr>
          <w:rFonts w:ascii="宋体" w:hAnsi="宋体" w:cs="宋体" w:eastAsia="宋体"/>
          <w:sz w:val="27"/>
          <w:color w:val="222222"/>
        </w:rPr>
        <w:t>：</w:t>
      </w:r>
      <w:r>
        <w:rPr>
          <w:rFonts w:ascii="宋体" w:hAnsi="宋体" w:cs="宋体" w:eastAsia="宋体"/>
          <w:sz w:val="27"/>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color w:val="222222"/>
        </w:rPr>
        <w:t>地址：</w:t>
      </w:r>
      <w:r>
        <w:rPr>
          <w:rFonts w:ascii="宋体" w:hAnsi="宋体" w:cs="宋体" w:eastAsia="宋体"/>
          <w:sz w:val="27"/>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p>
    <w:p>
      <w:pPr>
        <w:pStyle w:val="null3"/>
        <w:shd w:fill="FFFFFF"/>
        <w:spacing w:before="0" w:after="0"/>
        <w:ind w:left="0" w:right="0"/>
        <w:jc w:val="both"/>
      </w:pPr>
      <w:r>
        <w:rPr>
          <w:rFonts w:ascii="宋体" w:hAnsi="宋体" w:cs="宋体" w:eastAsia="宋体"/>
          <w:sz w:val="27"/>
          <w:b/>
          <w:color w:val="222222"/>
        </w:rPr>
        <w:t>乙方：</w:t>
      </w:r>
      <w:r>
        <w:rPr>
          <w:rFonts w:ascii="宋体" w:hAnsi="宋体" w:cs="宋体" w:eastAsia="宋体"/>
          <w:sz w:val="27"/>
          <w:b/>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p>
    <w:p>
      <w:pPr>
        <w:pStyle w:val="null3"/>
        <w:shd w:fill="FFFFFF"/>
        <w:spacing w:before="0" w:after="0"/>
        <w:ind w:left="0" w:right="0"/>
        <w:jc w:val="both"/>
      </w:pPr>
      <w:r>
        <w:rPr>
          <w:rFonts w:ascii="宋体" w:hAnsi="宋体" w:cs="宋体" w:eastAsia="宋体"/>
          <w:sz w:val="27"/>
          <w:color w:val="222222"/>
        </w:rPr>
        <w:t>电话：</w:t>
      </w:r>
      <w:r>
        <w:rPr>
          <w:rFonts w:ascii="宋体" w:hAnsi="宋体" w:cs="宋体" w:eastAsia="宋体"/>
          <w:sz w:val="27"/>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color w:val="222222"/>
        </w:rPr>
        <w:t>传真：</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color w:val="222222"/>
        </w:rPr>
        <w:t>地址：</w:t>
      </w:r>
      <w:r>
        <w:rPr>
          <w:rFonts w:ascii="宋体" w:hAnsi="宋体" w:cs="宋体" w:eastAsia="宋体"/>
          <w:sz w:val="27"/>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p>
    <w:p>
      <w:pPr>
        <w:pStyle w:val="null3"/>
        <w:shd w:fill="FFFFFF"/>
        <w:spacing w:before="150" w:after="150"/>
        <w:ind w:left="0" w:right="0"/>
        <w:jc w:val="both"/>
      </w:pPr>
      <w:r>
        <w:rPr>
          <w:rFonts w:ascii="helvetica" w:hAnsi="helvetica" w:cs="helvetica" w:eastAsia="helvetica"/>
          <w:sz w:val="27"/>
          <w:color w:val="222222"/>
        </w:rPr>
        <w:t xml:space="preserve"> </w:t>
      </w:r>
    </w:p>
    <w:p>
      <w:pPr>
        <w:pStyle w:val="null3"/>
        <w:shd w:fill="FFFFFF"/>
        <w:spacing w:before="0" w:after="0"/>
        <w:ind w:left="0" w:right="0"/>
        <w:jc w:val="both"/>
      </w:pPr>
      <w:r>
        <w:rPr>
          <w:rFonts w:ascii="宋体" w:hAnsi="宋体" w:cs="宋体" w:eastAsia="宋体"/>
          <w:sz w:val="27"/>
          <w:color w:val="222222"/>
        </w:rPr>
        <w:t xml:space="preserve"> </w:t>
      </w:r>
      <w:r>
        <w:rPr>
          <w:rFonts w:ascii="宋体" w:hAnsi="宋体" w:cs="宋体" w:eastAsia="宋体"/>
          <w:sz w:val="27"/>
          <w:color w:val="222222"/>
        </w:rPr>
        <w:t xml:space="preserve"> </w:t>
      </w:r>
      <w:r>
        <w:rPr>
          <w:rFonts w:ascii="宋体" w:hAnsi="宋体" w:cs="宋体" w:eastAsia="宋体"/>
          <w:sz w:val="27"/>
          <w:color w:val="222222"/>
        </w:rPr>
        <w:t>根据</w:t>
      </w:r>
      <w:r>
        <w:rPr>
          <w:rFonts w:ascii="宋体" w:hAnsi="宋体" w:cs="宋体" w:eastAsia="宋体"/>
          <w:sz w:val="27"/>
          <w:color w:val="222222"/>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项目</w:t>
      </w:r>
      <w:r>
        <w:rPr>
          <w:rFonts w:ascii="宋体" w:hAnsi="宋体" w:cs="宋体" w:eastAsia="宋体"/>
          <w:sz w:val="27"/>
          <w:color w:val="222222"/>
          <w:u w:val="single"/>
        </w:rPr>
        <w:t xml:space="preserve"> </w:t>
      </w:r>
      <w:r>
        <w:rPr>
          <w:rFonts w:ascii="宋体" w:hAnsi="宋体" w:cs="宋体" w:eastAsia="宋体"/>
          <w:sz w:val="27"/>
          <w:color w:val="222222"/>
        </w:rPr>
        <w:t>的采购结果，按照《中华人民共和国政府采购法》，《</w:t>
      </w:r>
      <w:r>
        <w:rPr>
          <w:rFonts w:ascii="宋体" w:hAnsi="宋体" w:cs="宋体" w:eastAsia="宋体"/>
          <w:sz w:val="27"/>
          <w:color w:val="222222"/>
        </w:rPr>
        <w:t>中华人民共和国民法典(合同编)</w:t>
      </w:r>
      <w:r>
        <w:rPr>
          <w:rFonts w:ascii="宋体" w:hAnsi="宋体" w:cs="宋体" w:eastAsia="宋体"/>
          <w:sz w:val="27"/>
          <w:color w:val="222222"/>
        </w:rPr>
        <w:t>》的规定，经双方协商，本着平等互利和诚实信用的原则，一致同意遵守本合同如下。</w:t>
      </w:r>
    </w:p>
    <w:p>
      <w:pPr>
        <w:pStyle w:val="null3"/>
        <w:shd w:fill="FFFFFF"/>
        <w:spacing w:before="0" w:after="0"/>
        <w:ind w:left="0" w:right="0"/>
        <w:jc w:val="both"/>
      </w:pPr>
      <w:r>
        <w:rPr>
          <w:rFonts w:ascii="宋体" w:hAnsi="宋体" w:cs="宋体" w:eastAsia="宋体"/>
          <w:sz w:val="27"/>
          <w:b/>
          <w:color w:val="222222"/>
        </w:rPr>
        <w:t>一、合同金额</w:t>
      </w:r>
    </w:p>
    <w:p>
      <w:pPr>
        <w:pStyle w:val="null3"/>
        <w:shd w:fill="FFFFFF"/>
        <w:spacing w:before="0" w:after="0"/>
        <w:ind w:left="0" w:right="0"/>
        <w:jc w:val="both"/>
      </w:pPr>
      <w:r>
        <w:rPr>
          <w:rFonts w:ascii="宋体" w:hAnsi="宋体" w:cs="宋体" w:eastAsia="宋体"/>
          <w:sz w:val="27"/>
          <w:color w:val="222222"/>
        </w:rPr>
        <w:t>　　合同金额为（大写）：_____________元（￥_________元）人民币。</w:t>
      </w:r>
    </w:p>
    <w:p>
      <w:pPr>
        <w:pStyle w:val="null3"/>
        <w:shd w:fill="FFFFFF"/>
        <w:spacing w:before="0" w:after="0"/>
        <w:ind w:left="0" w:right="0"/>
        <w:jc w:val="both"/>
      </w:pPr>
      <w:r>
        <w:rPr>
          <w:rFonts w:ascii="宋体" w:hAnsi="宋体" w:cs="宋体" w:eastAsia="宋体"/>
          <w:sz w:val="27"/>
          <w:b/>
          <w:color w:val="222222"/>
        </w:rPr>
        <w:t>二、服务范围</w:t>
      </w:r>
    </w:p>
    <w:p>
      <w:pPr>
        <w:pStyle w:val="null3"/>
        <w:shd w:fill="FFFFFF"/>
        <w:spacing w:before="0" w:after="0"/>
        <w:ind w:left="0" w:right="0"/>
        <w:jc w:val="both"/>
      </w:pPr>
      <w:r>
        <w:rPr>
          <w:rFonts w:ascii="宋体" w:hAnsi="宋体" w:cs="宋体" w:eastAsia="宋体"/>
          <w:sz w:val="27"/>
          <w:color w:val="222222"/>
        </w:rPr>
        <w:t>　　甲方聘请乙方提供以下服务：</w:t>
      </w:r>
    </w:p>
    <w:p>
      <w:pPr>
        <w:pStyle w:val="null3"/>
        <w:shd w:fill="FFFFFF"/>
        <w:spacing w:before="0" w:after="0"/>
        <w:ind w:left="0" w:right="0"/>
        <w:jc w:val="both"/>
      </w:pPr>
      <w:r>
        <w:rPr>
          <w:rFonts w:ascii="宋体" w:hAnsi="宋体" w:cs="宋体" w:eastAsia="宋体"/>
          <w:sz w:val="27"/>
          <w:color w:val="222222"/>
        </w:rPr>
        <w:t>　　1．</w:t>
      </w:r>
      <w:r>
        <w:rPr>
          <w:rFonts w:ascii="宋体" w:hAnsi="宋体" w:cs="宋体" w:eastAsia="宋体"/>
          <w:sz w:val="27"/>
          <w:color w:val="222222"/>
          <w:u w:val="single"/>
        </w:rPr>
        <w:t>　　　　　　　　　　　</w:t>
      </w:r>
      <w:r>
        <w:rPr>
          <w:rFonts w:ascii="宋体" w:hAnsi="宋体" w:cs="宋体" w:eastAsia="宋体"/>
          <w:sz w:val="27"/>
          <w:color w:val="222222"/>
        </w:rPr>
        <w:t>。</w:t>
      </w:r>
    </w:p>
    <w:p>
      <w:pPr>
        <w:pStyle w:val="null3"/>
        <w:shd w:fill="FFFFFF"/>
        <w:spacing w:before="0" w:after="0"/>
        <w:ind w:left="0" w:right="0"/>
        <w:jc w:val="both"/>
      </w:pPr>
      <w:r>
        <w:rPr>
          <w:rFonts w:ascii="宋体" w:hAnsi="宋体" w:cs="宋体" w:eastAsia="宋体"/>
          <w:sz w:val="27"/>
          <w:color w:val="222222"/>
        </w:rPr>
        <w:t>　　2．</w:t>
      </w:r>
      <w:r>
        <w:rPr>
          <w:rFonts w:ascii="宋体" w:hAnsi="宋体" w:cs="宋体" w:eastAsia="宋体"/>
          <w:sz w:val="27"/>
          <w:color w:val="222222"/>
          <w:u w:val="single"/>
        </w:rPr>
        <w:t>　　　　　　　　　　　</w:t>
      </w:r>
    </w:p>
    <w:p>
      <w:pPr>
        <w:pStyle w:val="null3"/>
        <w:shd w:fill="FFFFFF"/>
        <w:spacing w:before="0" w:after="0"/>
        <w:ind w:left="0" w:right="0"/>
        <w:jc w:val="both"/>
      </w:pPr>
      <w:r>
        <w:rPr>
          <w:rFonts w:ascii="宋体" w:hAnsi="宋体" w:cs="宋体" w:eastAsia="宋体"/>
          <w:sz w:val="27"/>
          <w:color w:val="222222"/>
        </w:rPr>
        <w:t>……</w:t>
      </w:r>
    </w:p>
    <w:p>
      <w:pPr>
        <w:pStyle w:val="null3"/>
        <w:shd w:fill="FFFFFF"/>
        <w:spacing w:before="0" w:after="0"/>
        <w:ind w:left="0" w:right="0"/>
        <w:jc w:val="both"/>
      </w:pPr>
      <w:r>
        <w:rPr>
          <w:rFonts w:ascii="宋体" w:hAnsi="宋体" w:cs="宋体" w:eastAsia="宋体"/>
          <w:sz w:val="27"/>
          <w:b/>
          <w:color w:val="222222"/>
        </w:rPr>
        <w:t>三、甲方乙方的权利和义务</w:t>
      </w:r>
    </w:p>
    <w:p>
      <w:pPr>
        <w:pStyle w:val="null3"/>
        <w:shd w:fill="FFFFFF"/>
        <w:spacing w:before="0" w:after="0"/>
        <w:ind w:left="0" w:right="0"/>
        <w:jc w:val="both"/>
      </w:pPr>
      <w:r>
        <w:rPr>
          <w:rFonts w:ascii="宋体" w:hAnsi="宋体" w:cs="宋体" w:eastAsia="宋体"/>
          <w:sz w:val="27"/>
          <w:color w:val="222222"/>
        </w:rPr>
        <w:t>　　1.甲方的权利和义务</w:t>
      </w:r>
    </w:p>
    <w:p>
      <w:pPr>
        <w:pStyle w:val="null3"/>
        <w:shd w:fill="FFFFFF"/>
        <w:spacing w:before="0" w:after="0"/>
        <w:ind w:left="0" w:right="0"/>
        <w:jc w:val="both"/>
      </w:pPr>
      <w:r>
        <w:rPr>
          <w:rFonts w:ascii="宋体" w:hAnsi="宋体" w:cs="宋体" w:eastAsia="宋体"/>
          <w:sz w:val="27"/>
          <w:color w:val="222222"/>
        </w:rPr>
        <w:t>　　2.乙方的权利和义务</w:t>
      </w:r>
    </w:p>
    <w:p>
      <w:pPr>
        <w:pStyle w:val="null3"/>
        <w:shd w:fill="FFFFFF"/>
        <w:spacing w:before="0" w:after="0"/>
        <w:ind w:left="0" w:right="0"/>
        <w:jc w:val="both"/>
      </w:pPr>
      <w:r>
        <w:rPr>
          <w:rFonts w:ascii="宋体" w:hAnsi="宋体" w:cs="宋体" w:eastAsia="宋体"/>
          <w:sz w:val="27"/>
          <w:b/>
          <w:color w:val="222222"/>
        </w:rPr>
        <w:t>四、服务期间（项目完成期限）</w:t>
      </w:r>
    </w:p>
    <w:p>
      <w:pPr>
        <w:pStyle w:val="null3"/>
        <w:shd w:fill="FFFFFF"/>
        <w:spacing w:before="0" w:after="0"/>
        <w:ind w:left="0" w:right="0"/>
        <w:jc w:val="both"/>
      </w:pPr>
      <w:r>
        <w:rPr>
          <w:rFonts w:ascii="宋体" w:hAnsi="宋体" w:cs="宋体" w:eastAsia="宋体"/>
          <w:sz w:val="27"/>
          <w:color w:val="222222"/>
        </w:rPr>
        <w:t>　　1.委托服务期间自______年______月至______年______月止。</w:t>
      </w:r>
    </w:p>
    <w:p>
      <w:pPr>
        <w:pStyle w:val="null3"/>
        <w:shd w:fill="FFFFFF"/>
        <w:spacing w:before="0" w:after="0"/>
        <w:ind w:left="0" w:right="0"/>
        <w:jc w:val="both"/>
      </w:pPr>
      <w:r>
        <w:rPr>
          <w:rFonts w:ascii="宋体" w:hAnsi="宋体" w:cs="宋体" w:eastAsia="宋体"/>
          <w:sz w:val="27"/>
          <w:b/>
          <w:color w:val="222222"/>
        </w:rPr>
        <w:t>五、付款方式</w:t>
      </w:r>
    </w:p>
    <w:p>
      <w:pPr>
        <w:pStyle w:val="null3"/>
        <w:shd w:fill="FFFFFF"/>
        <w:spacing w:before="0" w:after="0"/>
        <w:ind w:left="0" w:right="0"/>
        <w:jc w:val="both"/>
      </w:pPr>
      <w:r>
        <w:rPr>
          <w:rFonts w:ascii="宋体" w:hAnsi="宋体" w:cs="宋体" w:eastAsia="宋体"/>
          <w:sz w:val="27"/>
          <w:color w:val="222222"/>
        </w:rPr>
        <w:t>　　由甲方按下列程序在</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rPr>
        <w:t xml:space="preserve"> </w:t>
      </w:r>
      <w:r>
        <w:rPr>
          <w:rFonts w:ascii="宋体" w:hAnsi="宋体" w:cs="宋体" w:eastAsia="宋体"/>
          <w:sz w:val="27"/>
          <w:color w:val="222222"/>
        </w:rPr>
        <w:t>内付款：</w:t>
      </w:r>
    </w:p>
    <w:p>
      <w:pPr>
        <w:pStyle w:val="null3"/>
        <w:shd w:fill="FFFFFF"/>
        <w:spacing w:before="0" w:after="0"/>
        <w:ind w:left="0" w:right="0"/>
        <w:jc w:val="both"/>
      </w:pPr>
      <w:r>
        <w:rPr>
          <w:rFonts w:ascii="宋体" w:hAnsi="宋体" w:cs="宋体" w:eastAsia="宋体"/>
          <w:sz w:val="27"/>
          <w:color w:val="222222"/>
        </w:rPr>
        <w:t>　　1.在合同实施及服务人员到达服务地后__天内，甲方应将第一次付　　款总服务费的__(-%)付给乙方。</w:t>
      </w:r>
    </w:p>
    <w:p>
      <w:pPr>
        <w:pStyle w:val="null3"/>
        <w:shd w:fill="FFFFFF"/>
        <w:spacing w:before="0" w:after="0"/>
        <w:ind w:left="0" w:right="0"/>
        <w:jc w:val="both"/>
      </w:pPr>
      <w:r>
        <w:rPr>
          <w:rFonts w:ascii="宋体" w:hAnsi="宋体" w:cs="宋体" w:eastAsia="宋体"/>
          <w:sz w:val="27"/>
          <w:color w:val="222222"/>
        </w:rPr>
        <w:t>　　2.第二次付款额应为总服务费的__(-%)，甲方应在乙方已经准备好，并递交了服务报告及其它相关文件，而这些报告和文件符合合同附件上的要求并被甲方验收后付给乙方。</w:t>
      </w:r>
    </w:p>
    <w:p>
      <w:pPr>
        <w:pStyle w:val="null3"/>
        <w:shd w:fill="FFFFFF"/>
        <w:spacing w:before="0" w:after="0"/>
        <w:ind w:left="0" w:right="0"/>
        <w:jc w:val="both"/>
      </w:pPr>
      <w:r>
        <w:rPr>
          <w:rFonts w:ascii="宋体" w:hAnsi="宋体" w:cs="宋体" w:eastAsia="宋体"/>
          <w:sz w:val="27"/>
          <w:color w:val="222222"/>
        </w:rPr>
        <w:t>　　3.最后一次付款额应为总服务费的__(-%)，甲方应在乙方递交了服务总结报告和说明并完全履行合同完毕_________日内付给乙方。</w:t>
      </w:r>
    </w:p>
    <w:p>
      <w:pPr>
        <w:pStyle w:val="null3"/>
        <w:shd w:fill="FFFFFF"/>
        <w:spacing w:before="0" w:after="0"/>
        <w:ind w:left="0" w:right="0"/>
        <w:jc w:val="both"/>
      </w:pPr>
      <w:r>
        <w:rPr>
          <w:rFonts w:ascii="宋体" w:hAnsi="宋体" w:cs="宋体" w:eastAsia="宋体"/>
          <w:sz w:val="27"/>
          <w:color w:val="222222"/>
        </w:rPr>
        <w:t>　　4.对于满足合同约定支付条件的，甲方应当自收到发票后30日内将资金支付到合同约定的乙方账户，不得以机构变动、人员更替、政策调整等为由延迟付款，不得将采购文件和合同中未规定的义务作为向乙方付款的条件。</w:t>
      </w:r>
    </w:p>
    <w:p>
      <w:pPr>
        <w:pStyle w:val="null3"/>
        <w:shd w:fill="FFFFFF"/>
        <w:spacing w:before="0" w:after="0"/>
        <w:ind w:left="0" w:right="0"/>
        <w:jc w:val="both"/>
      </w:pPr>
      <w:r>
        <w:rPr>
          <w:rFonts w:ascii="宋体" w:hAnsi="宋体" w:cs="宋体" w:eastAsia="宋体"/>
          <w:sz w:val="27"/>
          <w:b/>
          <w:color w:val="222222"/>
        </w:rPr>
        <w:t>六、知识产权归属</w:t>
      </w:r>
    </w:p>
    <w:p>
      <w:pPr>
        <w:pStyle w:val="null3"/>
        <w:shd w:fill="FFFFFF"/>
        <w:spacing w:before="0" w:after="0"/>
        <w:ind w:left="0" w:right="0"/>
        <w:jc w:val="both"/>
      </w:pPr>
      <w:r>
        <w:rPr>
          <w:rFonts w:ascii="宋体" w:hAnsi="宋体" w:cs="宋体" w:eastAsia="宋体"/>
          <w:sz w:val="27"/>
          <w:b/>
          <w:color w:val="222222"/>
        </w:rPr>
        <w:t>七、保密</w:t>
      </w:r>
    </w:p>
    <w:p>
      <w:pPr>
        <w:pStyle w:val="null3"/>
        <w:shd w:fill="FFFFFF"/>
        <w:spacing w:before="0" w:after="0"/>
        <w:ind w:left="0" w:right="0"/>
        <w:jc w:val="both"/>
      </w:pPr>
      <w:r>
        <w:rPr>
          <w:rFonts w:ascii="宋体" w:hAnsi="宋体" w:cs="宋体" w:eastAsia="宋体"/>
          <w:sz w:val="27"/>
          <w:b/>
          <w:color w:val="222222"/>
        </w:rPr>
        <w:t>八、违约责任与赔偿损失</w:t>
      </w:r>
    </w:p>
    <w:p>
      <w:pPr>
        <w:pStyle w:val="null3"/>
        <w:shd w:fill="FFFFFF"/>
        <w:spacing w:before="0" w:after="0"/>
        <w:ind w:left="0" w:right="0"/>
        <w:jc w:val="both"/>
      </w:pPr>
      <w:r>
        <w:rPr>
          <w:rFonts w:ascii="宋体" w:hAnsi="宋体" w:cs="宋体" w:eastAsia="宋体"/>
          <w:sz w:val="27"/>
          <w:color w:val="222222"/>
        </w:rPr>
        <w:t>　　1.乙方提供的服务不符合本合同规定的，甲方有权拒收，并且乙方须向甲方方支付本合同总价5%的违约金。</w:t>
      </w:r>
    </w:p>
    <w:p>
      <w:pPr>
        <w:pStyle w:val="null3"/>
        <w:shd w:fill="FFFFFF"/>
        <w:spacing w:before="0" w:after="0"/>
        <w:ind w:left="0" w:right="0"/>
        <w:jc w:val="both"/>
      </w:pPr>
      <w:r>
        <w:rPr>
          <w:rFonts w:ascii="宋体" w:hAnsi="宋体" w:cs="宋体" w:eastAsia="宋体"/>
          <w:sz w:val="27"/>
          <w:color w:val="222222"/>
        </w:rPr>
        <w:t>　　2.乙方未能按本合同规定的交货时间提供服务，从逾期之日起每日按本合同总价3‰的数额向甲方支付违约金；逾期半个月以上的，甲方有权终止合同，由此造成的甲方经济损失由乙方承担。</w:t>
      </w:r>
    </w:p>
    <w:p>
      <w:pPr>
        <w:pStyle w:val="null3"/>
        <w:shd w:fill="FFFFFF"/>
        <w:spacing w:before="0" w:after="0"/>
        <w:ind w:left="0" w:right="0"/>
        <w:jc w:val="both"/>
      </w:pPr>
      <w:r>
        <w:rPr>
          <w:rFonts w:ascii="宋体" w:hAnsi="宋体" w:cs="宋体" w:eastAsia="宋体"/>
          <w:sz w:val="27"/>
          <w:color w:val="222222"/>
        </w:rPr>
        <w:t>　　3.甲方无正当理由拒收接受服务，到期拒付服务款项的，甲方向乙方偿付本合同总的5%的违约金。甲方人逾期付款，则每日按本合同总价的3‰向乙方偿付违约金。</w:t>
      </w:r>
    </w:p>
    <w:p>
      <w:pPr>
        <w:pStyle w:val="null3"/>
        <w:shd w:fill="FFFFFF"/>
        <w:spacing w:before="0" w:after="0"/>
        <w:ind w:left="0" w:right="0"/>
        <w:jc w:val="both"/>
      </w:pPr>
      <w:r>
        <w:rPr>
          <w:rFonts w:ascii="宋体" w:hAnsi="宋体" w:cs="宋体" w:eastAsia="宋体"/>
          <w:sz w:val="27"/>
          <w:color w:val="222222"/>
        </w:rPr>
        <w:t>　　4.对于因甲方原因导致变更、中止或者终止政府采购合同的，甲方应当依照以下合同约定对供应商受到的损失予以赔偿或者补偿：</w:t>
      </w:r>
    </w:p>
    <w:p>
      <w:pPr>
        <w:pStyle w:val="null3"/>
        <w:shd w:fill="FFFFFF"/>
        <w:spacing w:before="0" w:after="0"/>
        <w:ind w:left="0" w:right="0"/>
        <w:jc w:val="both"/>
      </w:pP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p>
    <w:p>
      <w:pPr>
        <w:pStyle w:val="null3"/>
        <w:shd w:fill="FFFFFF"/>
        <w:spacing w:before="0" w:after="0"/>
        <w:ind w:left="0" w:right="0"/>
        <w:jc w:val="both"/>
      </w:pPr>
      <w:r>
        <w:rPr>
          <w:rFonts w:ascii="宋体" w:hAnsi="宋体" w:cs="宋体" w:eastAsia="宋体"/>
          <w:sz w:val="27"/>
          <w:color w:val="222222"/>
        </w:rPr>
        <w:t>　　5.其它违约责任按《</w:t>
      </w:r>
      <w:r>
        <w:rPr>
          <w:rFonts w:ascii="宋体" w:hAnsi="宋体" w:cs="宋体" w:eastAsia="宋体"/>
          <w:sz w:val="27"/>
          <w:color w:val="222222"/>
        </w:rPr>
        <w:t>中华人民共和国民法典(合同编)</w:t>
      </w:r>
      <w:r>
        <w:rPr>
          <w:rFonts w:ascii="宋体" w:hAnsi="宋体" w:cs="宋体" w:eastAsia="宋体"/>
          <w:sz w:val="27"/>
          <w:color w:val="222222"/>
        </w:rPr>
        <w:t>》处理。</w:t>
      </w:r>
    </w:p>
    <w:p>
      <w:pPr>
        <w:pStyle w:val="null3"/>
        <w:shd w:fill="FFFFFF"/>
        <w:spacing w:before="0" w:after="0"/>
        <w:ind w:left="0" w:right="0"/>
        <w:jc w:val="both"/>
      </w:pPr>
      <w:r>
        <w:rPr>
          <w:rFonts w:ascii="宋体" w:hAnsi="宋体" w:cs="宋体" w:eastAsia="宋体"/>
          <w:sz w:val="27"/>
          <w:b/>
          <w:color w:val="222222"/>
        </w:rPr>
        <w:t>九、争议的解决</w:t>
      </w:r>
    </w:p>
    <w:p>
      <w:pPr>
        <w:pStyle w:val="null3"/>
        <w:shd w:fill="FFFFFF"/>
        <w:spacing w:before="0" w:after="0"/>
        <w:ind w:left="0" w:right="0" w:firstLine="400"/>
        <w:jc w:val="both"/>
      </w:pPr>
      <w:r>
        <w:rPr>
          <w:rFonts w:ascii="宋体" w:hAnsi="宋体" w:cs="宋体" w:eastAsia="宋体"/>
          <w:sz w:val="27"/>
          <w:color w:val="222222"/>
        </w:rPr>
        <w:t>合同执行过程中发生的任何争议，如双方不能通过友好协商解决，按相关法律法规处理。</w:t>
      </w:r>
      <w:r>
        <w:rPr>
          <w:rFonts w:ascii="helvetica" w:hAnsi="helvetica" w:cs="helvetica" w:eastAsia="helvetica"/>
          <w:sz w:val="27"/>
          <w:color w:val="222222"/>
        </w:rPr>
        <w:t xml:space="preserve"> </w:t>
      </w:r>
      <w:r>
        <w:rPr>
          <w:rFonts w:ascii="宋体" w:hAnsi="宋体" w:cs="宋体" w:eastAsia="宋体"/>
          <w:sz w:val="27"/>
          <w:color w:val="222222"/>
        </w:rPr>
        <w:t xml:space="preserve"> </w:t>
      </w:r>
      <w:r>
        <w:rPr>
          <w:rFonts w:ascii="helvetica" w:hAnsi="helvetica" w:cs="helvetica" w:eastAsia="helvetica"/>
          <w:sz w:val="27"/>
          <w:color w:val="222222"/>
        </w:rPr>
        <w:t xml:space="preserve"> </w:t>
      </w:r>
      <w:r>
        <w:rPr>
          <w:rFonts w:ascii="helvetica" w:hAnsi="helvetica" w:cs="helvetica" w:eastAsia="helvetica"/>
          <w:sz w:val="27"/>
          <w:color w:val="222222"/>
        </w:rPr>
        <w:t xml:space="preserve"> </w:t>
      </w:r>
      <w:r>
        <w:rPr>
          <w:rFonts w:ascii="helvetica" w:hAnsi="helvetica" w:cs="helvetica" w:eastAsia="helvetica"/>
          <w:sz w:val="27"/>
          <w:color w:val="222222"/>
        </w:rPr>
        <w:t xml:space="preserve"> </w:t>
      </w:r>
    </w:p>
    <w:p>
      <w:pPr>
        <w:pStyle w:val="null3"/>
        <w:shd w:fill="FFFFFF"/>
        <w:spacing w:before="0" w:after="0"/>
        <w:ind w:left="0" w:right="0"/>
        <w:jc w:val="both"/>
      </w:pPr>
      <w:r>
        <w:rPr>
          <w:rFonts w:ascii="宋体" w:hAnsi="宋体" w:cs="宋体" w:eastAsia="宋体"/>
          <w:sz w:val="27"/>
          <w:b/>
          <w:color w:val="222222"/>
        </w:rPr>
        <w:t>十、不可抗力</w:t>
      </w:r>
    </w:p>
    <w:p>
      <w:pPr>
        <w:pStyle w:val="null3"/>
        <w:shd w:fill="FFFFFF"/>
        <w:spacing w:before="0" w:after="0"/>
        <w:ind w:left="0" w:right="0"/>
        <w:jc w:val="both"/>
      </w:pPr>
      <w:r>
        <w:rPr>
          <w:rFonts w:ascii="宋体" w:hAnsi="宋体" w:cs="宋体" w:eastAsia="宋体"/>
          <w:sz w:val="27"/>
          <w:color w:val="222222"/>
        </w:rPr>
        <w:t>　　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pStyle w:val="null3"/>
        <w:shd w:fill="FFFFFF"/>
        <w:spacing w:before="0" w:after="0"/>
        <w:ind w:left="0" w:right="0"/>
        <w:jc w:val="both"/>
      </w:pPr>
      <w:r>
        <w:rPr>
          <w:rFonts w:ascii="宋体" w:hAnsi="宋体" w:cs="宋体" w:eastAsia="宋体"/>
          <w:sz w:val="27"/>
          <w:b/>
          <w:color w:val="222222"/>
        </w:rPr>
        <w:t>十一、税费</w:t>
      </w:r>
    </w:p>
    <w:p>
      <w:pPr>
        <w:pStyle w:val="null3"/>
        <w:shd w:fill="FFFFFF"/>
        <w:spacing w:before="0" w:after="0"/>
        <w:ind w:left="0" w:right="0"/>
        <w:jc w:val="both"/>
      </w:pPr>
      <w:r>
        <w:rPr>
          <w:rFonts w:ascii="宋体" w:hAnsi="宋体" w:cs="宋体" w:eastAsia="宋体"/>
          <w:sz w:val="27"/>
          <w:color w:val="222222"/>
        </w:rPr>
        <w:t>　　在中国境内、外发生的与本合同执行有关的一切税费均由乙方负担。</w:t>
      </w:r>
    </w:p>
    <w:p>
      <w:pPr>
        <w:pStyle w:val="null3"/>
        <w:shd w:fill="FFFFFF"/>
        <w:spacing w:before="0" w:after="0"/>
        <w:ind w:left="0" w:right="0"/>
        <w:jc w:val="both"/>
      </w:pPr>
      <w:r>
        <w:rPr>
          <w:rFonts w:ascii="宋体" w:hAnsi="宋体" w:cs="宋体" w:eastAsia="宋体"/>
          <w:sz w:val="27"/>
          <w:b/>
          <w:color w:val="222222"/>
        </w:rPr>
        <w:t>十二、其它</w:t>
      </w:r>
    </w:p>
    <w:p>
      <w:pPr>
        <w:pStyle w:val="null3"/>
        <w:shd w:fill="FFFFFF"/>
        <w:spacing w:before="0" w:after="0"/>
        <w:ind w:left="0" w:right="0"/>
        <w:jc w:val="both"/>
      </w:pPr>
      <w:r>
        <w:rPr>
          <w:rFonts w:ascii="宋体" w:hAnsi="宋体" w:cs="宋体" w:eastAsia="宋体"/>
          <w:sz w:val="27"/>
          <w:color w:val="222222"/>
        </w:rPr>
        <w:t>　　1.本合同所有附件、招标文件、投标文件、中标通知书均为合同的有效组成部分，与本合同具有同等法律效力。</w:t>
      </w:r>
    </w:p>
    <w:p>
      <w:pPr>
        <w:pStyle w:val="null3"/>
        <w:shd w:fill="FFFFFF"/>
        <w:spacing w:before="0" w:after="0"/>
        <w:ind w:left="0" w:right="0"/>
        <w:jc w:val="both"/>
      </w:pPr>
      <w:r>
        <w:rPr>
          <w:rFonts w:ascii="宋体" w:hAnsi="宋体" w:cs="宋体" w:eastAsia="宋体"/>
          <w:sz w:val="27"/>
          <w:color w:val="222222"/>
        </w:rPr>
        <w:t>　　2.在执行本合同的过程中，所有经双方签署确认的文件（包括会议纪要、补充协议、往来信函）即成为本合同的有效组成部分。</w:t>
      </w:r>
    </w:p>
    <w:p>
      <w:pPr>
        <w:pStyle w:val="null3"/>
        <w:shd w:fill="FFFFFF"/>
        <w:spacing w:before="0" w:after="0"/>
        <w:ind w:left="0" w:right="0"/>
        <w:jc w:val="both"/>
      </w:pPr>
      <w:r>
        <w:rPr>
          <w:rFonts w:ascii="宋体" w:hAnsi="宋体" w:cs="宋体" w:eastAsia="宋体"/>
          <w:sz w:val="27"/>
          <w:color w:val="222222"/>
        </w:rPr>
        <w:t>　　3.如一方地址、电话、传真号码有变更，应在变更当日内书面通知对方，否则，应承担相应责任。</w:t>
      </w:r>
    </w:p>
    <w:p>
      <w:pPr>
        <w:pStyle w:val="null3"/>
        <w:shd w:fill="FFFFFF"/>
        <w:spacing w:before="0" w:after="0"/>
        <w:ind w:left="0" w:right="0"/>
        <w:jc w:val="both"/>
      </w:pPr>
      <w:r>
        <w:rPr>
          <w:rFonts w:ascii="宋体" w:hAnsi="宋体" w:cs="宋体" w:eastAsia="宋体"/>
          <w:sz w:val="27"/>
          <w:color w:val="222222"/>
        </w:rPr>
        <w:t>　　4.除甲方事先书面同意外，乙方不得部分或全部转让其应履行的合同项下的义务。</w:t>
      </w:r>
    </w:p>
    <w:p>
      <w:pPr>
        <w:pStyle w:val="null3"/>
        <w:shd w:fill="FFFFFF"/>
        <w:spacing w:before="0" w:after="0"/>
        <w:ind w:left="0" w:right="0"/>
        <w:jc w:val="both"/>
      </w:pPr>
      <w:r>
        <w:rPr>
          <w:rFonts w:ascii="宋体" w:hAnsi="宋体" w:cs="宋体" w:eastAsia="宋体"/>
          <w:sz w:val="27"/>
          <w:b/>
          <w:color w:val="222222"/>
        </w:rPr>
        <w:t>十三、合同生效</w:t>
      </w:r>
    </w:p>
    <w:p>
      <w:pPr>
        <w:pStyle w:val="null3"/>
        <w:shd w:fill="FFFFFF"/>
        <w:spacing w:before="0" w:after="0"/>
        <w:ind w:left="0" w:right="0"/>
        <w:jc w:val="both"/>
      </w:pPr>
      <w:r>
        <w:rPr>
          <w:rFonts w:ascii="宋体" w:hAnsi="宋体" w:cs="宋体" w:eastAsia="宋体"/>
          <w:sz w:val="27"/>
          <w:color w:val="222222"/>
        </w:rPr>
        <w:t>　　1.本合同在甲乙双方法人代表或其授权代表签字盖章后生效。</w:t>
      </w:r>
    </w:p>
    <w:p>
      <w:pPr>
        <w:pStyle w:val="null3"/>
        <w:shd w:fill="FFFFFF"/>
        <w:spacing w:before="0" w:after="0"/>
        <w:ind w:left="0" w:right="0"/>
        <w:jc w:val="both"/>
      </w:pPr>
      <w:r>
        <w:rPr>
          <w:rFonts w:ascii="宋体" w:hAnsi="宋体" w:cs="宋体" w:eastAsia="宋体"/>
          <w:sz w:val="27"/>
          <w:color w:val="222222"/>
        </w:rPr>
        <w:t>　　2.合同一式</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rPr>
        <w:t xml:space="preserve"> </w:t>
      </w:r>
      <w:r>
        <w:rPr>
          <w:rFonts w:ascii="宋体" w:hAnsi="宋体" w:cs="宋体" w:eastAsia="宋体"/>
          <w:sz w:val="27"/>
          <w:color w:val="222222"/>
        </w:rPr>
        <w:t>份。</w:t>
      </w:r>
    </w:p>
    <w:p>
      <w:pPr>
        <w:pStyle w:val="null3"/>
        <w:shd w:fill="FFFFFF"/>
        <w:spacing w:before="150" w:after="150"/>
        <w:ind w:left="0" w:right="0"/>
        <w:jc w:val="both"/>
      </w:pPr>
      <w:r>
        <w:rPr>
          <w:rFonts w:ascii="helvetica" w:hAnsi="helvetica" w:cs="helvetica" w:eastAsia="helvetica"/>
          <w:sz w:val="27"/>
          <w:color w:val="222222"/>
        </w:rPr>
        <w:t xml:space="preserve"> </w:t>
      </w:r>
    </w:p>
    <w:p>
      <w:pPr>
        <w:pStyle w:val="null3"/>
        <w:shd w:fill="FFFFFF"/>
        <w:spacing w:before="0" w:after="0"/>
        <w:ind w:left="0" w:right="0"/>
        <w:jc w:val="both"/>
      </w:pPr>
      <w:r>
        <w:rPr>
          <w:rFonts w:ascii="宋体" w:hAnsi="宋体" w:cs="宋体" w:eastAsia="宋体"/>
          <w:sz w:val="27"/>
          <w:b/>
          <w:color w:val="222222"/>
        </w:rPr>
        <w:t>甲方（盖章）：</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乙方（盖章）：</w:t>
      </w:r>
    </w:p>
    <w:p>
      <w:pPr>
        <w:pStyle w:val="null3"/>
        <w:shd w:fill="FFFFFF"/>
        <w:spacing w:before="0" w:after="0"/>
        <w:ind w:left="0" w:right="0"/>
        <w:jc w:val="both"/>
      </w:pPr>
      <w:r>
        <w:rPr>
          <w:rFonts w:ascii="宋体" w:hAnsi="宋体" w:cs="宋体" w:eastAsia="宋体"/>
          <w:sz w:val="27"/>
          <w:b/>
          <w:color w:val="222222"/>
        </w:rPr>
        <w:t>代表：</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代表：</w:t>
      </w:r>
    </w:p>
    <w:p>
      <w:pPr>
        <w:pStyle w:val="null3"/>
        <w:shd w:fill="FFFFFF"/>
        <w:spacing w:before="0" w:after="0"/>
        <w:ind w:left="0" w:right="0"/>
        <w:jc w:val="both"/>
      </w:pPr>
      <w:r>
        <w:rPr>
          <w:rFonts w:ascii="宋体" w:hAnsi="宋体" w:cs="宋体" w:eastAsia="宋体"/>
          <w:sz w:val="27"/>
          <w:color w:val="222222"/>
        </w:rPr>
        <w:t>签订地点：</w:t>
      </w:r>
    </w:p>
    <w:p>
      <w:pPr>
        <w:pStyle w:val="null3"/>
        <w:shd w:fill="FFFFFF"/>
        <w:spacing w:before="0" w:after="0"/>
        <w:ind w:left="0" w:right="0"/>
        <w:jc w:val="both"/>
      </w:pPr>
      <w:r>
        <w:rPr>
          <w:rFonts w:ascii="宋体" w:hAnsi="宋体" w:cs="宋体" w:eastAsia="宋体"/>
          <w:sz w:val="27"/>
          <w:color w:val="222222"/>
        </w:rPr>
        <w:t>签订日期：　　　年　　月　　日</w:t>
      </w:r>
      <w:r>
        <w:rPr>
          <w:rFonts w:ascii="宋体" w:hAnsi="宋体" w:cs="宋体" w:eastAsia="宋体"/>
          <w:sz w:val="27"/>
          <w:color w:val="222222"/>
        </w:rPr>
        <w:t xml:space="preserve"> </w:t>
      </w:r>
      <w:r>
        <w:rPr>
          <w:rFonts w:ascii="宋体" w:hAnsi="宋体" w:cs="宋体" w:eastAsia="宋体"/>
          <w:sz w:val="27"/>
          <w:color w:val="222222"/>
        </w:rPr>
        <w:t xml:space="preserve"> 签订日期：　　　年　　月　　日</w:t>
      </w:r>
    </w:p>
    <w:p>
      <w:pPr>
        <w:pStyle w:val="null3"/>
        <w:shd w:fill="FFFFFF"/>
        <w:spacing w:before="0" w:after="0"/>
        <w:ind w:left="0" w:right="0"/>
        <w:jc w:val="both"/>
      </w:pPr>
      <w:r>
        <w:rPr>
          <w:rFonts w:ascii="宋体" w:hAnsi="宋体" w:cs="宋体" w:eastAsia="宋体"/>
          <w:sz w:val="27"/>
          <w:color w:val="222222"/>
        </w:rPr>
        <w:t>开户名称：</w:t>
      </w:r>
    </w:p>
    <w:p>
      <w:pPr>
        <w:pStyle w:val="null3"/>
        <w:shd w:fill="FFFFFF"/>
        <w:spacing w:before="0" w:after="0"/>
        <w:ind w:left="0" w:right="0"/>
        <w:jc w:val="both"/>
      </w:pPr>
      <w:r>
        <w:rPr>
          <w:rFonts w:ascii="宋体" w:hAnsi="宋体" w:cs="宋体" w:eastAsia="宋体"/>
          <w:sz w:val="27"/>
          <w:color w:val="222222"/>
        </w:rPr>
        <w:t>银行帐号：</w:t>
      </w:r>
    </w:p>
    <w:p>
      <w:pPr>
        <w:pStyle w:val="null3"/>
        <w:shd w:fill="FFFFFF"/>
        <w:spacing w:before="0" w:after="0"/>
        <w:ind w:left="0" w:right="0"/>
        <w:jc w:val="both"/>
      </w:pPr>
      <w:r>
        <w:rPr>
          <w:rFonts w:ascii="宋体" w:hAnsi="宋体" w:cs="宋体" w:eastAsia="宋体"/>
          <w:sz w:val="27"/>
          <w:color w:val="222222"/>
        </w:rPr>
        <w:t>开 户 行：</w:t>
      </w:r>
    </w:p>
    <w:p>
      <w:pPr>
        <w:pStyle w:val="null3"/>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441623-2025-00798</w:t>
      </w:r>
    </w:p>
    <w:p>
      <w:pPr>
        <w:pStyle w:val="null3"/>
        <w:jc w:val="center"/>
        <w:outlineLvl w:val="3"/>
      </w:pPr>
      <w:r>
        <w:rPr>
          <w:sz w:val="24"/>
          <w:b/>
        </w:rPr>
        <w:t>采购项目编号：</w:t>
      </w:r>
      <w:r>
        <w:rPr>
          <w:sz w:val="24"/>
          <w:b/>
        </w:rPr>
        <w:t>441623-2025-00798</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河源市新启项目咨询管理有限公司</w:t>
      </w:r>
    </w:p>
    <w:p>
      <w:pPr>
        <w:pStyle w:val="null3"/>
        <w:ind w:firstLine="480"/>
      </w:pPr>
      <w:r>
        <w:rPr/>
        <w:t xml:space="preserve"> 你方组织的</w:t>
      </w:r>
      <w:r>
        <w:rPr>
          <w:u w:val="single"/>
        </w:rPr>
        <w:t>“</w:t>
      </w:r>
      <w:r>
        <w:rPr>
          <w:u w:val="single"/>
        </w:rPr>
        <w:t>连平县生态工业园环卫保洁与绿化养护项目</w:t>
      </w:r>
      <w:r>
        <w:rPr>
          <w:u w:val="single"/>
        </w:rPr>
        <w:t>”</w:t>
      </w:r>
      <w:r>
        <w:rPr/>
        <w:t>项目的竞争性磋商[采购项目编号为：</w:t>
      </w:r>
      <w:r>
        <w:rPr>
          <w:u w:val="single"/>
        </w:rPr>
        <w:t>441623-2025-00798</w:t>
      </w:r>
      <w:r>
        <w:rPr/>
        <w:t>]，我方愿参与响应。</w:t>
      </w:r>
    </w:p>
    <w:p>
      <w:pPr>
        <w:pStyle w:val="null3"/>
        <w:ind w:firstLine="480"/>
      </w:pPr>
      <w:r>
        <w:rPr/>
        <w:t>我方确认收到贵方提供的</w:t>
      </w:r>
      <w:r>
        <w:rPr>
          <w:u w:val="single"/>
        </w:rPr>
        <w:t>“</w:t>
      </w:r>
      <w:r>
        <w:rPr>
          <w:u w:val="single"/>
        </w:rPr>
        <w:t>连平县生态工业园环卫保洁与绿化养护项目</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利。</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河源市新启项目咨询管理有限公司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连平县生态工业园环卫保洁与绿化养护项目</w:t>
      </w:r>
      <w:r>
        <w:rPr/>
        <w:t>”项目采购[采购项目编号为</w:t>
      </w:r>
      <w:r>
        <w:rPr/>
        <w:t>441623-2025-00798</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响应保证金</w:t>
      </w:r>
    </w:p>
    <w:p>
      <w:pPr>
        <w:pStyle w:val="null3"/>
        <w:ind w:firstLine="480"/>
      </w:pPr>
      <w:r>
        <w:rPr/>
        <w:t>响应文件要求递交响应保证金的，供应商应在此提供保证金的凭证的复印件。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连平县工业园管理委员会</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格式二十：</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河源市新启项目咨询管理有限公司</w:t>
      </w:r>
    </w:p>
    <w:p>
      <w:pPr>
        <w:pStyle w:val="null3"/>
        <w:ind w:firstLine="480"/>
      </w:pPr>
      <w:r>
        <w:rPr/>
        <w:t>我单位参加贵公司组织的</w:t>
      </w:r>
      <w:r>
        <w:rPr/>
        <w:t>连平县生态工业园环卫保洁与绿化养护项目</w:t>
      </w:r>
      <w:r>
        <w:rPr/>
        <w:t>（采购项目编号：</w:t>
      </w:r>
      <w:r>
        <w:rPr/>
        <w:t>441623-2025-00798</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说明：本部分格式为供应商提交询问函、质疑函、投诉函时使用，不属于响应文件格式的组成部分。</w:t>
      </w:r>
    </w:p>
    <w:p>
      <w:pPr>
        <w:pStyle w:val="null3"/>
        <w:jc w:val="center"/>
        <w:outlineLvl w:val="3"/>
      </w:pPr>
      <w:r>
        <w:rPr>
          <w:sz w:val="24"/>
          <w:b/>
        </w:rPr>
        <w:t>询问函</w:t>
      </w:r>
    </w:p>
    <w:p>
      <w:pPr>
        <w:pStyle w:val="null3"/>
        <w:ind w:firstLine="480"/>
      </w:pPr>
      <w:r>
        <w:rPr/>
        <w:t>河源市新启项目咨询管理有限公司</w:t>
      </w:r>
    </w:p>
    <w:p>
      <w:pPr>
        <w:pStyle w:val="null3"/>
        <w:ind w:firstLine="480"/>
      </w:pPr>
      <w:r>
        <w:rPr/>
        <w:t>我单位已登记并准备参与“</w:t>
      </w:r>
      <w:r>
        <w:rPr/>
        <w:t>连平县生态工业园环卫保洁与绿化养护项目</w:t>
      </w:r>
      <w:r>
        <w:rPr/>
        <w:t>”项目（采购项目编号：</w:t>
      </w:r>
      <w:r>
        <w:rPr/>
        <w:t>441623-2025-00798</w:t>
      </w:r>
      <w:r>
        <w:rPr/>
        <w:t xml:space="preserve"> ）的响应活动，现有以下几个内容（或条款）存在疑问（或无法理解），特提出询问。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jc w:val="right"/>
      </w:pPr>
      <w:r>
        <w:rPr/>
        <w:t xml:space="preserve"> 日  期：__________________</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jc w:val="right"/>
      </w:pPr>
      <w:r>
        <w:rPr/>
        <w:t xml:space="preserve"> 签字(签章)：_____________________ 公章：_____________________</w:t>
      </w:r>
    </w:p>
    <w:p>
      <w:pPr>
        <w:pStyle w:val="null3"/>
        <w:jc w:val="right"/>
      </w:pPr>
      <w:r>
        <w:rPr/>
        <w:t xml:space="preserve"> 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磋商文件公告:</w:t>
      </w:r>
      <w:r>
        <w:rPr>
          <w:u w:val="single"/>
        </w:rPr>
        <w:t>是/否</w:t>
      </w:r>
      <w:r>
        <w:rPr/>
        <w:t xml:space="preserve"> 公告期限：</w:t>
      </w:r>
    </w:p>
    <w:p>
      <w:pPr>
        <w:pStyle w:val="null3"/>
        <w:ind w:firstLine="480"/>
      </w:pPr>
      <w:r>
        <w:rPr/>
        <w:t xml:space="preserve"> 采购结果公告:</w:t>
      </w:r>
      <w:r>
        <w:rPr>
          <w:u w:val="single"/>
        </w:rPr>
        <w:t>是/否</w:t>
      </w:r>
      <w:r>
        <w:rPr/>
        <w:t xml:space="preserve"> 公告期限：</w:t>
      </w:r>
    </w:p>
    <w:p>
      <w:pPr>
        <w:pStyle w:val="null3"/>
        <w:ind w:firstLine="480"/>
      </w:pPr>
      <w:r>
        <w:rPr/>
        <w:t xml:space="preserve"> 三、质疑基本情况</w:t>
      </w:r>
    </w:p>
    <w:p>
      <w:pPr>
        <w:pStyle w:val="null3"/>
        <w:ind w:firstLine="480"/>
      </w:pPr>
      <w:r>
        <w:rPr/>
        <w:t xml:space="preserve"> 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投诉事项1：____________________</w:t>
      </w:r>
    </w:p>
    <w:p>
      <w:pPr>
        <w:pStyle w:val="null3"/>
        <w:ind w:firstLine="480"/>
      </w:pPr>
      <w:r>
        <w:rPr/>
        <w:t xml:space="preserve"> 事实依据：____________________</w:t>
      </w:r>
    </w:p>
    <w:p>
      <w:pPr>
        <w:pStyle w:val="null3"/>
        <w:ind w:firstLine="480"/>
      </w:pPr>
      <w:r>
        <w:rPr/>
        <w:t xml:space="preserve"> 法律依据：____________________</w:t>
      </w:r>
    </w:p>
    <w:p>
      <w:pPr>
        <w:pStyle w:val="null3"/>
        <w:ind w:firstLine="480"/>
      </w:pPr>
      <w:r>
        <w:rPr/>
        <w:t xml:space="preserve"> 投诉事项2</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签字(签章)：_________公章________</w:t>
      </w:r>
    </w:p>
    <w:p>
      <w:pPr>
        <w:pStyle w:val="null3"/>
        <w:jc w:val="right"/>
      </w:pPr>
      <w:r>
        <w:rPr/>
        <w:t>日期：_____________________</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